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黑体" w:cs="Times New Roman"/>
          <w:b/>
          <w:szCs w:val="21"/>
        </w:rPr>
      </w:pPr>
      <w:r>
        <w:rPr>
          <w:rFonts w:hint="eastAsia" w:eastAsia="黑体" w:cs="Times New Roman"/>
          <w:b/>
          <w:sz w:val="28"/>
          <w:szCs w:val="28"/>
        </w:rPr>
        <w:t>附件</w:t>
      </w:r>
      <w:r>
        <w:rPr>
          <w:rFonts w:hint="eastAsia" w:eastAsia="黑体" w:cs="Times New Roman"/>
          <w:b/>
          <w:sz w:val="28"/>
          <w:szCs w:val="28"/>
          <w:lang w:val="en-US" w:eastAsia="zh-CN"/>
        </w:rPr>
        <w:t>5</w:t>
      </w:r>
      <w:r>
        <w:rPr>
          <w:rFonts w:hint="eastAsia" w:eastAsia="黑体" w:cs="Times New Roman"/>
          <w:b/>
          <w:sz w:val="28"/>
          <w:szCs w:val="28"/>
        </w:rPr>
        <w:t>：需求赛道赛题</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55" w:type="dxa"/>
          </w:tcPr>
          <w:p>
            <w:pPr>
              <w:spacing w:line="240" w:lineRule="auto"/>
              <w:ind w:firstLine="0" w:firstLineChars="0"/>
              <w:jc w:val="center"/>
              <w:rPr>
                <w:rFonts w:hint="eastAsia" w:ascii="黑体" w:hAnsi="黑体" w:eastAsia="黑体" w:cs="黑体"/>
                <w:sz w:val="28"/>
                <w:szCs w:val="28"/>
              </w:rPr>
            </w:pPr>
            <w:r>
              <w:rPr>
                <w:rFonts w:hint="eastAsia" w:ascii="黑体" w:hAnsi="黑体" w:eastAsia="黑体" w:cs="黑体"/>
                <w:sz w:val="28"/>
                <w:szCs w:val="28"/>
              </w:rPr>
              <w:t>赛题编号</w:t>
            </w:r>
          </w:p>
        </w:tc>
        <w:tc>
          <w:tcPr>
            <w:tcW w:w="6741" w:type="dxa"/>
          </w:tcPr>
          <w:p>
            <w:pPr>
              <w:widowControl/>
              <w:spacing w:line="240" w:lineRule="auto"/>
              <w:ind w:firstLine="0" w:firstLineChars="0"/>
              <w:jc w:val="center"/>
              <w:rPr>
                <w:rFonts w:hint="eastAsia" w:ascii="黑体" w:hAnsi="黑体" w:eastAsia="黑体" w:cs="黑体"/>
                <w:sz w:val="28"/>
                <w:szCs w:val="28"/>
              </w:rPr>
            </w:pPr>
            <w:r>
              <w:rPr>
                <w:rFonts w:hint="eastAsia" w:ascii="黑体" w:hAnsi="黑体" w:eastAsia="黑体" w:cs="黑体"/>
                <w:sz w:val="28"/>
                <w:szCs w:val="28"/>
              </w:rPr>
              <w:t>赛题名称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有机废水转化为有机营养研究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2</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煤矸石的综合利用研究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3</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盐碱地治理及种植研究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4</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废水零排放中废盐的处置和利用研究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5</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城市生态系统温室气体通量核算技术与应用研究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6</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近海环境中典型污染重金属元素的溯源分析技术与应用研究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7</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近海环境中微塑料污染物的入海行为研究和通量估算技术与应用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8</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高标准定制化人工种植用土开发与应用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9</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改良土壤的新型生物高分子材料筛选和研发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10</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农村污水处理工艺的适用性研究及经济技术评价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11</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农村经营排水户污水处理工艺技术研究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12</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农村生活污水用于灌溉的工艺设计、设备研发及其环境影响研究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13</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农村污水处理碳减排路径研究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14</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农村人居环境改善及农村有机废弃物综合利用研究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15</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垃圾填埋场的修复和治理方案探索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16</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城市易腐垃圾就地资源化利用方案设计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17</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现代生态循环农业模式和评价体系探索</w:t>
            </w:r>
          </w:p>
        </w:tc>
      </w:tr>
    </w:tbl>
    <w:p>
      <w:pPr>
        <w:widowControl/>
        <w:ind w:firstLine="0" w:firstLineChars="0"/>
        <w:jc w:val="left"/>
      </w:pPr>
      <w:r>
        <w:br w:type="page"/>
      </w:r>
    </w:p>
    <w:p>
      <w:pPr>
        <w:pStyle w:val="2"/>
      </w:pPr>
      <w:r>
        <w:rPr>
          <w:rFonts w:hint="eastAsia" w:ascii="黑体" w:hAnsi="黑体" w:eastAsia="黑体" w:cs="黑体"/>
        </w:rPr>
        <w:t>有机废水转化为有机营养研究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ascii="Times New Roman" w:hAnsi="Times New Roman" w:eastAsia="仿宋"/>
          <w:sz w:val="21"/>
        </w:rPr>
      </w:pPr>
      <w:r>
        <w:rPr>
          <w:rFonts w:hint="eastAsia" w:ascii="Times New Roman" w:hAnsi="Times New Roman" w:eastAsia="仿宋"/>
          <w:sz w:val="21"/>
        </w:rPr>
        <w:t>畜禽养殖废水/沼液、粮食深加工废水、食品废水、餐厨废水、湿垃圾废水等都属于高浓度有机废水，目前大部分采用生化工艺处理，达标排放。处理过程中绝大部分有机质转化为二氧化碳、甲烷等温室气体和氮气等其他气体排放至大气。上述废水中的有机质也能成为动植物生长的有机营养，研究其转化的理论、模式、技术、方法，是为建立达成“双碳”目标提供解决方案的基础。</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研发有机废水中有机质的提取和分离技术</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建立有机废水中有机质的利用模式</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研发有机废水的实用型减量化浓缩技术</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建立有机废水作为有机营养农田灌溉的综合影响评价体系</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研发有机废水中盐的高效、低成本脱除技术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20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spacing w:line="240" w:lineRule="auto"/>
        <w:ind w:firstLine="0" w:firstLineChars="0"/>
        <w:jc w:val="left"/>
      </w:pPr>
      <w:r>
        <w:br w:type="page"/>
      </w:r>
    </w:p>
    <w:p>
      <w:pPr>
        <w:pStyle w:val="2"/>
      </w:pPr>
      <w:r>
        <w:rPr>
          <w:rFonts w:hint="eastAsia" w:ascii="黑体" w:hAnsi="黑体" w:eastAsia="黑体" w:cs="黑体"/>
        </w:rPr>
        <w:t>煤矸石的综合利用研究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目前国内煤矸石堆积量超50亿吨，每年增长1~2亿吨，堆积的煤矸石占据大量土地资源，严重影响大气、土地、水资源环境及生态，同时煤矸石的自燃性也对安全带来了危害。现阶段煤矸石的主要利用是建材方向和回填，煤矸石的创新利用将提高煤矸石的利用率，为环境生态建设提供解决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探索创新的煤矸石利用技术和方向</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研发煤矸石人工土壤的有机质高效转化技术</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研究煤矸石人工土壤的重金属的迁移规律</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明确煤矸石人工土壤的环境影响</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21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盐碱地治理及种植研究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国内可治理的盐碱地超5亿亩，分布比较广，盐碱的成因也比较多，创新研究因地制宜的盐碱地的治理方式、种植方式，为提高可种土地面积，保障国家粮食安全有重要意义。</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研发创新的盐碱地治理方式和技</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研发创新的盐碱地种植方式和技术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研发低成本盐碱地治理方式和技术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研发盐碱地耕作层快速构建技术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研发盐碱地改良返碱控制技术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22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废水零排放中废盐的处置和利用研究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目前国内很多项目由于环保的需求，废水需要零排放，废水通过浓缩蒸发后，水中无机溶质最终会以盐的形式成为固形废弃物，该类固废主要成分为氯化物、硫酸盐等杂盐，一般采取填埋的方式。填埋的杂盐占据宝贵的土地资源，并可能引起土壤、地表水、地下水的污染。研究和探索废盐的综合利用方法和技术，为解决废水零排放最后一个难题，实现废弃物资源循环利用提供解决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研发盐的高效提纯和分离技术及其过程中的节能减排技术</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探索创新的杂盐处置方式</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探索盐的综合利用方式</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23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城市生态系统温室气体通量核算技术与应用研究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为贯彻2021年全国生态环境保护工作会议精神，落实“减污降碳”和“加强温室气体监测，逐步纳入生态环境监测体系统筹实施”的要求，支撑应对气候变化工作成效评估，2021年9月12日，生态环境部办公厅发布了《碳监测评估试点工作方案》，正式启动碳监测评估试点工作。碳监测与碳核算作为双碳战略的两个重要组成部分，因此生态系统温室气体通量分析与核算研究，有助于了解城市温室气体的特征。</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建立生态系统碳通量核算方法</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研究生态系统碳通量不同时空的变化特征（以某城市为研究对象）</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提出生态系统碳通量观测点位布设方案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pPr>
      <w:r>
        <w:br w:type="page"/>
      </w:r>
    </w:p>
    <w:p>
      <w:pPr>
        <w:pStyle w:val="2"/>
        <w:rPr>
          <w:rFonts w:hint="eastAsia" w:ascii="黑体" w:hAnsi="黑体" w:eastAsia="黑体" w:cs="黑体"/>
        </w:rPr>
      </w:pPr>
      <w:r>
        <w:rPr>
          <w:rFonts w:hint="eastAsia" w:ascii="黑体" w:hAnsi="黑体" w:eastAsia="黑体" w:cs="黑体"/>
        </w:rPr>
        <w:t>近海环境中典型污染重金属元素的溯源分析技术与应用研究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近海环境中重金属污染物一直以来是环境科学研究的重点课题与方向，且相关研究多围绕污染现状、含量和风险效应评估等方面的开展。污染重金属的溯源研究对于了解重金属的环境行为意义重大，有助于人类辨识重金属及其相关污染物的来源。以铅元素为例，可以通过金属同位素等检测技术进行溯源，建立近海环境中重金属铅污染物来源的端元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建立污染重金属溯源的端元模型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rPr>
          <w:b/>
          <w:bCs/>
          <w:kern w:val="44"/>
          <w:sz w:val="28"/>
          <w:szCs w:val="44"/>
        </w:rPr>
      </w:pPr>
      <w:r>
        <w:br w:type="page"/>
      </w:r>
    </w:p>
    <w:p>
      <w:pPr>
        <w:pStyle w:val="2"/>
      </w:pPr>
      <w:r>
        <w:rPr>
          <w:rFonts w:hint="eastAsia" w:ascii="黑体" w:hAnsi="黑体" w:eastAsia="黑体" w:cs="黑体"/>
        </w:rPr>
        <w:t>近海环境中微塑料污染物的入海行为研究和通量估算技术与应用</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微塑料，指粒径小于5mm的塑料，属于新型海洋污染物，每年约有480万至1270万吨进入海洋。由于其具有抗风化性强、降解周期长等特点，微塑料在海洋环境中滞留时间长且不断聚集、沉积，对海洋环境产生潜在的危害影响。目前，塑料已成为海洋垃圾的主要组成部分，海岸带、海洋表面及海底的塑料垃圾已占据了海洋垃圾总量的95％以上。科学家预计到2025年，陆地进入海洋的塑料废物的累积数量将增加一个数量级。因此，全球海洋已成为微塑料的一个重要的“汇”。探究人类与海洋相互作用背景下，近海环境中微塑料污染物的入海行为研究和通量估算，有助于理解微塑料由陆入海的迁移、转化和富集等环境行为过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研究微塑料由陆入海的迁移、转化和富集等环境行为过程</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开发微塑料通量估算模型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rPr>
          <w:b/>
          <w:bCs/>
          <w:kern w:val="44"/>
          <w:sz w:val="28"/>
          <w:szCs w:val="44"/>
        </w:rPr>
      </w:pPr>
      <w:r>
        <w:br w:type="page"/>
      </w:r>
    </w:p>
    <w:p>
      <w:pPr>
        <w:pStyle w:val="2"/>
      </w:pPr>
      <w:r>
        <w:rPr>
          <w:rFonts w:hint="eastAsia" w:ascii="黑体" w:hAnsi="黑体" w:eastAsia="黑体" w:cs="黑体"/>
        </w:rPr>
        <w:t>高标准定制化人工种植用土开发与应用</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土壤肥力的解释基于“作物响应”研究中的模型，该模型将产量与特定化学养分的测试水平相匹配，不同的作物在生长过程中对土壤的各类矿物质、酸碱度及水份、透气性等有不同的需求，在规模化种植时，“土壤健康管理”是提高综合产能，促进农业高质量发展的重要手段。2022年4月浙江省农业农村厅、浙江省自然资源厅等5部门联合出台《土壤健康行动实施意见》，《意见》提出，构建土壤健康管理新体系，发挥健康土壤对保障粮食安全、农产品安全、生态安全、碳达峰碳中和等方面积极作用，不断提高耕地综合产能，促进绿色生态农业高质量发展。高标准定制化人工种植土的研究方向不仅解决了土壤健康管理的问题，同时可实现城市、矿山、农业垃圾资源化再利用，符合时代发展趋势，也是对国家及地方战略的积极响应。</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筛选城市、矿山等废弃物中的可用于配制种植土的无机物质和有机物质种类</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建立城市、矿山等废弃物再利用生产高标准定制化种植土的资源化模式</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建立城市、矿山等废弃物再利用生产高标准定制化种植土的影响评价体系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pPr>
        <w:ind w:firstLine="420"/>
        <w:rPr>
          <w:rFonts w:hint="eastAsia" w:ascii="Times New Roman" w:hAnsi="Times New Roman" w:eastAsia="仿宋"/>
          <w:sz w:val="21"/>
        </w:rPr>
      </w:pPr>
      <w:r>
        <w:rPr>
          <w:rFonts w:hint="eastAsia" w:ascii="Times New Roman" w:hAnsi="Times New Roman" w:eastAsia="仿宋"/>
          <w:sz w:val="21"/>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pPr>
        <w:widowControl/>
        <w:ind w:firstLine="0" w:firstLineChars="0"/>
        <w:jc w:val="left"/>
        <w:rPr>
          <w:b/>
          <w:bCs/>
          <w:kern w:val="44"/>
          <w:sz w:val="28"/>
          <w:szCs w:val="44"/>
        </w:rPr>
      </w:pPr>
      <w:r>
        <w:br w:type="page"/>
      </w:r>
    </w:p>
    <w:p>
      <w:pPr>
        <w:pStyle w:val="2"/>
        <w:rPr>
          <w:rFonts w:hint="eastAsia" w:ascii="黑体" w:hAnsi="黑体" w:eastAsia="黑体" w:cs="黑体"/>
        </w:rPr>
      </w:pPr>
      <w:r>
        <w:rPr>
          <w:rFonts w:hint="eastAsia" w:ascii="黑体" w:hAnsi="黑体" w:eastAsia="黑体" w:cs="黑体"/>
        </w:rPr>
        <w:t>改良土壤的新型生物高分子材料筛选和研发</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国外对土壤改良产品的研究，已有近100年的历史，产品发展经历了天然土壤改良产品到人工合成土壤改良产品两个时期。荒漠化治理和土壤培肥要有良好效果，使分散土粒形成团粒，改善土壤孔隙度、通气性、透水性、保水性、坚实度等物理性质，还能改善土壤化学性质，加强微生物的生命活动，调节土壤的水、肥、气、热状况。开展土壤肥力重建，提高耕地的综合生产能力，对于充分发挥土地的生产潜力，确保国家粮食安全、解决乡村振兴中的“农业”问题及国民经济快速发展具有十分重要的战略意义。</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9"/>
        </w:numPr>
        <w:ind w:firstLineChars="0"/>
        <w:rPr>
          <w:rFonts w:ascii="Times New Roman" w:hAnsi="Times New Roman" w:eastAsia="仿宋"/>
          <w:sz w:val="21"/>
        </w:rPr>
      </w:pPr>
      <w:r>
        <w:rPr>
          <w:rFonts w:hint="eastAsia" w:ascii="Times New Roman" w:hAnsi="Times New Roman" w:eastAsia="仿宋"/>
          <w:sz w:val="21"/>
        </w:rPr>
        <w:t>筛选和研发快速培肥土壤的生物高分子材料</w:t>
      </w:r>
    </w:p>
    <w:p>
      <w:pPr>
        <w:pStyle w:val="23"/>
        <w:numPr>
          <w:ilvl w:val="0"/>
          <w:numId w:val="9"/>
        </w:numPr>
        <w:ind w:firstLineChars="0"/>
        <w:rPr>
          <w:rFonts w:ascii="Times New Roman" w:hAnsi="Times New Roman" w:eastAsia="仿宋"/>
          <w:sz w:val="21"/>
        </w:rPr>
      </w:pPr>
      <w:r>
        <w:rPr>
          <w:rFonts w:hint="eastAsia" w:ascii="Times New Roman" w:hAnsi="Times New Roman" w:eastAsia="仿宋"/>
          <w:sz w:val="21"/>
        </w:rPr>
        <w:t>集成一套荒漠化治理和快速培肥新技术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pPr>
        <w:ind w:firstLine="420"/>
        <w:rPr>
          <w:rFonts w:hint="eastAsia" w:ascii="Times New Roman" w:hAnsi="Times New Roman" w:eastAsia="仿宋"/>
          <w:sz w:val="21"/>
        </w:rPr>
      </w:pPr>
      <w:r>
        <w:rPr>
          <w:rFonts w:hint="eastAsia" w:ascii="Times New Roman" w:hAnsi="Times New Roman" w:eastAsia="仿宋"/>
          <w:sz w:val="21"/>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农村污水处理工艺的适用性研究及经济技术评价</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pPr>
      <w:r>
        <w:rPr>
          <w:rFonts w:hint="eastAsia" w:ascii="Times New Roman" w:hAnsi="Times New Roman" w:eastAsia="仿宋"/>
          <w:sz w:val="21"/>
        </w:rPr>
        <w:t>根据《浙江省农村生活污水治理“强基增效双提标”行动方案（2021-2025）》的要求，浙江省在2025年前将初步实现农材生活污水治理体系和治理能力现代化，行政村覆盖率和出水水质达标率均达到95％以上。杭州市“十四五”生态环境保护规划中也明确完善农村生活污水治理设施建设，打造“污水全收集、雨污全分离、处理全达标、资源全利用、监管全智慧”的农村生态治污新格局。想要实现上述目标，结合农村污水排放特点、污水处理规模和排放要求等因素对工艺技术进行适用性和经济性比选极其重要。本研究拟针对处理现状、工艺流程、运维管理、投资成本等方面进行层次分析，建立一套适用性和经济性评价指标，提出适用于不同区域环境条件的农村生活污水处理工艺。</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评估农村生活污水处理工艺的现状</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建立农村生活污水处理工艺的评价体系</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研究农村生活污水处理工艺的适用性</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pPr>
      <w:r>
        <w:br w:type="page"/>
      </w:r>
    </w:p>
    <w:p>
      <w:pPr>
        <w:pStyle w:val="2"/>
      </w:pPr>
      <w:r>
        <w:rPr>
          <w:rFonts w:hint="eastAsia" w:ascii="黑体" w:hAnsi="黑体" w:eastAsia="黑体" w:cs="黑体"/>
        </w:rPr>
        <w:t>农村经营排水户污水处理工艺技术研究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省从2003年开始实施“千万工程”，经过15年的治理，取得了丰硕的成绩。2018年中央一号文件全面部署实施乡村振兴战略，浙江作为新时代中国特色社会主义思想重要萌发地，美丽乡村建设是全国的样板。新的阶段，省第十四次党代会报告明确提出把“美丽浙江”作为“六个浙江”的重点建设任务之一，强调要把“千村示范、万村整治”工程提高到新的水平。环境问题是决定村落景区品质等级优劣的第一指标，而污水问题又是决定环境的最主要因素，村落景区污水的特点及高要求标准，给其处理带来了重要的问题。村落景区中经营排水户因人口流动大、污水含油多、出水标准严、站点要求高等特点，相比于普通的农村污水要求更高，处理难度更大，技术要求更严格。这些污水如果不能有效的处理，将会对周边水体、环境造成严重的影响，从而影响村落景区的创建及可持续性发展。</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评估农村经营排水户污水处理工艺技术的现状</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总结农村经营排水户污水现状处理工艺技术的不足之处</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展望农村经营排水户污水处理工艺技术的升级及发展趋势</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农村生活污水用于灌溉的工艺设计、设备研发及其环境影响研究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近几年，各项政策包括《农村人居环境整治三年行动方案》，《关于加快制定地方农村生活污水处理排放标准的通知》等相继推出，都明确提出了要以改善农村人居环境为核心。2021年1月，十部门印发《关于推进污水资源化利用的指导意见》，实施农业农村污水以用促治工程，逐步建设完善农业污水收集处理再利用设施，处理达标后实现就近灌溉回用。2021年6月22日，住建部、农业农村部、国家乡村振兴局联合印发《关于加快农房和村庄建设现代化的指导意见》，指出要推动农村生活污水就近就地资源化利用。农村污水处理现有的工艺基本是扩容、加装动力、工艺升级等工业化的处理模式，此模式往往意味着能耗、药耗增加，投入更多，技术方面也更加复杂，难以达到“碳达峰”、“碳中和”的目的。农村生活污水处理应以农村的方式，即生态化灌溉循环模式，以减少处理成本、污水资源化、优化/简化处理工艺为导向，达到与乡村振兴和“碳中和”充分融合的目的。</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探索用于灌溉的农村生活污水预处理工艺</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研究农村生活污水灌溉资源化处理工艺及设备</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研究农村生活污水用于灌溉对作物的影响</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研究农村生活污水用于灌溉对环境的影响</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b/>
          <w:bCs/>
          <w:kern w:val="44"/>
          <w:sz w:val="28"/>
          <w:szCs w:val="44"/>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r>
        <w:br w:type="page"/>
      </w:r>
    </w:p>
    <w:p>
      <w:pPr>
        <w:pStyle w:val="2"/>
      </w:pPr>
      <w:r>
        <w:rPr>
          <w:rFonts w:hint="eastAsia" w:ascii="黑体" w:hAnsi="黑体" w:eastAsia="黑体" w:cs="黑体"/>
        </w:rPr>
        <w:t>农村污水处理碳减排路径研究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2020年9月22日，国家主席习近平在第七十五届联合国大会一般性辩论上向国际社会郑重承诺“中国将力争2030年前达到二氧化碳排放峰值，努力争取2060年前实现碳中和”。国家积极推进农村人居环境整治，旨在进一步提高农户的幸福感与获得感，农村污水治理作为重要实施内容，应积极探索绿色低碳污水处理工艺，采用新型能源和能效高的设备，减少温室气体排放，从而实现国家在各个领域的碳中和目标。</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3"/>
        </w:numPr>
        <w:ind w:firstLineChars="0"/>
        <w:rPr>
          <w:rFonts w:ascii="Times New Roman" w:hAnsi="Times New Roman" w:eastAsia="仿宋"/>
          <w:sz w:val="21"/>
        </w:rPr>
      </w:pPr>
      <w:r>
        <w:rPr>
          <w:rFonts w:hint="eastAsia" w:ascii="Times New Roman" w:hAnsi="Times New Roman" w:eastAsia="仿宋"/>
          <w:sz w:val="21"/>
        </w:rPr>
        <w:t>探索论证农村生活污水处理碳减排路径</w:t>
      </w:r>
    </w:p>
    <w:p>
      <w:pPr>
        <w:pStyle w:val="23"/>
        <w:numPr>
          <w:ilvl w:val="0"/>
          <w:numId w:val="13"/>
        </w:numPr>
        <w:ind w:firstLineChars="0"/>
        <w:rPr>
          <w:rFonts w:ascii="Times New Roman" w:hAnsi="Times New Roman" w:eastAsia="仿宋"/>
          <w:sz w:val="21"/>
        </w:rPr>
      </w:pPr>
      <w:r>
        <w:rPr>
          <w:rFonts w:hint="eastAsia" w:ascii="Times New Roman" w:hAnsi="Times New Roman" w:eastAsia="仿宋"/>
          <w:sz w:val="21"/>
        </w:rPr>
        <w:t>研发并评估农村生活污水的碳减排处理工艺和设备</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农村人居环境改善及农村有机废弃物综合利用研究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我国有5.56亿农村居民，农村居民生活中产生的有机废物数量巨大，人均在1400kg/人/年以上，包括厨余垃圾、家畜禽粪便、人粪尿、杂草、水生植物、树枝叶、瓜果藤条、农作物秸秆、各种未被化学污染的粪尿污水等都属于可再利用有机废弃物，目前大部分都是丢弃或掩埋等方式处置，只有少部分秸秆在资源化再利用。在近四十年前使用化肥之前的几千年里，这些有机废弃物是农业用肥的主要来源，农民通过沤肥的方式生产有机肥用到农地，由于这些有机肥料总量相比土地面积来说远远不够需求施肥量，所以化肥的产生解决了这个问题，但是化肥快速效应和过量使用导致了有机废弃物不再被利用，也导致了过量使用化肥导致的土壤贫瘠、板结钙化等缺陷，如果将这些有机废弃物全部利用起来，可以满足全国土地施肥量的30%以上，也就减少了30%以上的化肥用量。丢弃的有机废弃物在自然降解过程中由于厌氧菌或好氧菌的作用会产生病虫害传播、产生大量二氧化碳和甲烷，导致环境污染，如果可以全部再利用起来，虽然生物发酵过程同样产生二氧化碳，但是产出的有机肥能够助长植物，助长植物过程又可以吸收大量二氧化碳，最终可以达到“碳中和”的目标。所以该项目的理论技术和方式方法可以为“碳达峰“碳中和”目标提供助力。</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探索有机废弃物的收集模式</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开发有机废弃物资源化利用的转化技术</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建立有机废弃物生产有机肥施用至农田的综合影响评价体系</w:t>
      </w:r>
    </w:p>
    <w:p>
      <w:pPr>
        <w:pStyle w:val="23"/>
        <w:numPr>
          <w:ilvl w:val="0"/>
          <w:numId w:val="14"/>
        </w:numPr>
        <w:ind w:firstLineChars="0"/>
      </w:pPr>
      <w:r>
        <w:rPr>
          <w:rFonts w:hint="eastAsia" w:ascii="Times New Roman" w:hAnsi="Times New Roman" w:eastAsia="仿宋"/>
          <w:sz w:val="21"/>
        </w:rPr>
        <w:t>建立有机废弃物综合资源化利用的经济效益、社会效益和生态效益评价体系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2007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hint="eastAsia" w:ascii="Times New Roman" w:hAnsi="Times New Roman" w:eastAsia="仿宋"/>
          <w:sz w:val="21"/>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垃圾填埋场的修复和治理方案探索</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我国随着城市化的发展，对已封场的垃圾填埋场和旧的垃圾场进行生态修复，改造工作是非常严峻的一项工作，对于填埋场的土壤修复更是改造工作的重点，如何考虑场地实际条件，提出修复目标结合不同的土壤修复改良方案，不仅可提高土地使用率，同时也可以避免垃圾中的有害物质进入地下水污染周边环境，给土壤带来伤害。</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优化垃圾填埋场的调查研究办法</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优化垃圾填埋场土壤修复的方案（重金属修复，土壤有机质修复）</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探索垃圾填埋场再生资源利用及场地建设的新方向</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建立结合垃圾填埋场修复的治理方案的经济效益、社会效益和生态效益评价方法</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2008年，致力于环保装备研发与制造，经过多年的艰苦创业和积累，在引进和消化国内外先进技术的基础上，目前自行研发、设计、生产的系列产品已获多项国家发明专利，得到市场的好评与认可。</w:t>
      </w:r>
    </w:p>
    <w:p>
      <w:pPr>
        <w:ind w:firstLine="420"/>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城市易腐垃圾就地资源化利用方案设计</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城市居民中的易腐垃圾产出量巨大，易腐垃圾中主要包括废弃果菜残渣、过期食品、鱼肉等。有机易腐垃圾内富含大量的有机质，主要成分是淀粉、纤维素、钙质、蛋白质、脂类等，主要组成包括米、面粉类食物残余、蔬菜、动植物油、肉蛋、骨头、边角料等，包装材料等杂质。主要特点是成份复杂、有机质含量丰富、含水量极高，所以极易腐烂变质，散发恶臭，传播细菌和病毒。如不及时处理其性状和气味都会对环境卫生造成恶劣影响，且容易滋长病原微生物、霉菌毒素等有害物质。若能避免远途运输的传播，实现就地资源化处理，可极大程度缓解城市的垃圾处理压力，提升垃圾的资源化利用效率，减少垃圾焚烧和垃圾填埋的不利因素和条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研发城市易腐垃圾高效利用及实现就地资源化技术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2009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hint="eastAsia" w:ascii="Times New Roman" w:hAnsi="Times New Roman" w:eastAsia="仿宋"/>
          <w:sz w:val="21"/>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现代生态循环农业模式和评价体系探索</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在农业种植养殖企业或种养殖结合企业中，都会遇到环保问题，导致种养殖过程中的疫病问题、环保问题、限养问题、产品价值和质量问题，在遇到问题后就会逐步开始考虑无害化处理、资源化利用废弃物、生物发酵技术、生物农药技术、有机肥施用技术、轮作套作技术等。人们往往没有想到的是，在传统农业种养殖中考虑到以上提出的几个问题并且落实到生产当中后就是在做生态循环农业，就能够逐步调整好土壤结构性能、保护生态环境、提高农产品质量和价值、助力了“双碳”战略目标的推进。所以怎么将种植、养殖、食品加工、有机废弃物（固态液态）资源化利用形成一个闭环，将一个生产环节的末端连接到另一个生产环节的前端，形成生态循环链。</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设计生态农业中资源循环模式</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研发有机资源化利用的转化技术</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建立生物农药和有机肥施用至农田的综合影响评价体系</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建立资源循环型生态循环农业的经济效益、社会效益和生态效益评价体系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2010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ascii="Times New Roman" w:hAnsi="Times New Roman" w:eastAsia="仿宋_GB2312" w:cs="Times New Roman"/>
          <w:sz w:val="32"/>
          <w:szCs w:val="32"/>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232074"/>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5B10"/>
    <w:multiLevelType w:val="multilevel"/>
    <w:tmpl w:val="0AE35B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F1F4BF0"/>
    <w:multiLevelType w:val="multilevel"/>
    <w:tmpl w:val="0F1F4BF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9EC3406"/>
    <w:multiLevelType w:val="multilevel"/>
    <w:tmpl w:val="19EC340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113108D"/>
    <w:multiLevelType w:val="multilevel"/>
    <w:tmpl w:val="2113108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35E7E2E"/>
    <w:multiLevelType w:val="multilevel"/>
    <w:tmpl w:val="235E7E2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26B05AC0"/>
    <w:multiLevelType w:val="multilevel"/>
    <w:tmpl w:val="26B05AC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2EB813CF"/>
    <w:multiLevelType w:val="multilevel"/>
    <w:tmpl w:val="2EB813C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F0A57DB"/>
    <w:multiLevelType w:val="multilevel"/>
    <w:tmpl w:val="2F0A57D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3FC51875"/>
    <w:multiLevelType w:val="multilevel"/>
    <w:tmpl w:val="3FC51875"/>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9">
    <w:nsid w:val="510C6CB5"/>
    <w:multiLevelType w:val="multilevel"/>
    <w:tmpl w:val="510C6CB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512A086F"/>
    <w:multiLevelType w:val="multilevel"/>
    <w:tmpl w:val="512A086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89D41E3"/>
    <w:multiLevelType w:val="multilevel"/>
    <w:tmpl w:val="589D41E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5FA61D29"/>
    <w:multiLevelType w:val="multilevel"/>
    <w:tmpl w:val="5FA61D2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622874B1"/>
    <w:multiLevelType w:val="multilevel"/>
    <w:tmpl w:val="622874B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71825E07"/>
    <w:multiLevelType w:val="multilevel"/>
    <w:tmpl w:val="71825E0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75494446"/>
    <w:multiLevelType w:val="multilevel"/>
    <w:tmpl w:val="7549444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8"/>
  </w:num>
  <w:num w:numId="2">
    <w:abstractNumId w:val="1"/>
  </w:num>
  <w:num w:numId="3">
    <w:abstractNumId w:val="7"/>
  </w:num>
  <w:num w:numId="4">
    <w:abstractNumId w:val="2"/>
  </w:num>
  <w:num w:numId="5">
    <w:abstractNumId w:val="0"/>
  </w:num>
  <w:num w:numId="6">
    <w:abstractNumId w:val="11"/>
  </w:num>
  <w:num w:numId="7">
    <w:abstractNumId w:val="4"/>
  </w:num>
  <w:num w:numId="8">
    <w:abstractNumId w:val="5"/>
  </w:num>
  <w:num w:numId="9">
    <w:abstractNumId w:val="13"/>
  </w:num>
  <w:num w:numId="10">
    <w:abstractNumId w:val="15"/>
  </w:num>
  <w:num w:numId="11">
    <w:abstractNumId w:val="12"/>
  </w:num>
  <w:num w:numId="12">
    <w:abstractNumId w:val="9"/>
  </w:num>
  <w:num w:numId="13">
    <w:abstractNumId w:val="3"/>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YmQ0ZWIzZWMwMDMzZDZkY2Y3M2Q5ODk2YjA3ZDAifQ=="/>
  </w:docVars>
  <w:rsids>
    <w:rsidRoot w:val="00383423"/>
    <w:rsid w:val="000060B8"/>
    <w:rsid w:val="00045C2A"/>
    <w:rsid w:val="00055D32"/>
    <w:rsid w:val="00066B22"/>
    <w:rsid w:val="00083943"/>
    <w:rsid w:val="000868D5"/>
    <w:rsid w:val="000A650D"/>
    <w:rsid w:val="000B72DB"/>
    <w:rsid w:val="000E2AA4"/>
    <w:rsid w:val="00101765"/>
    <w:rsid w:val="00123EC6"/>
    <w:rsid w:val="0016597B"/>
    <w:rsid w:val="00171393"/>
    <w:rsid w:val="001A2F95"/>
    <w:rsid w:val="001C1ED3"/>
    <w:rsid w:val="001D76FF"/>
    <w:rsid w:val="001E5BC9"/>
    <w:rsid w:val="0020316C"/>
    <w:rsid w:val="002235A5"/>
    <w:rsid w:val="0022501E"/>
    <w:rsid w:val="002911DE"/>
    <w:rsid w:val="002A0CB6"/>
    <w:rsid w:val="002A21EC"/>
    <w:rsid w:val="002A2B54"/>
    <w:rsid w:val="002A2BA5"/>
    <w:rsid w:val="002A701F"/>
    <w:rsid w:val="002B777A"/>
    <w:rsid w:val="002F0802"/>
    <w:rsid w:val="002F2D41"/>
    <w:rsid w:val="002F34EB"/>
    <w:rsid w:val="0031379E"/>
    <w:rsid w:val="003323AC"/>
    <w:rsid w:val="00350EEC"/>
    <w:rsid w:val="00377194"/>
    <w:rsid w:val="00383423"/>
    <w:rsid w:val="003A1CF2"/>
    <w:rsid w:val="003B0711"/>
    <w:rsid w:val="003C2114"/>
    <w:rsid w:val="003D66CE"/>
    <w:rsid w:val="003E2BF8"/>
    <w:rsid w:val="003E6AC6"/>
    <w:rsid w:val="004151FA"/>
    <w:rsid w:val="00426A7D"/>
    <w:rsid w:val="004319C7"/>
    <w:rsid w:val="00437E0B"/>
    <w:rsid w:val="00442FBA"/>
    <w:rsid w:val="00443EA2"/>
    <w:rsid w:val="004557D4"/>
    <w:rsid w:val="0047511F"/>
    <w:rsid w:val="004F7746"/>
    <w:rsid w:val="00511087"/>
    <w:rsid w:val="00514733"/>
    <w:rsid w:val="00515309"/>
    <w:rsid w:val="00515D89"/>
    <w:rsid w:val="00541915"/>
    <w:rsid w:val="00545399"/>
    <w:rsid w:val="005702DA"/>
    <w:rsid w:val="00571B1C"/>
    <w:rsid w:val="00577D15"/>
    <w:rsid w:val="0059491E"/>
    <w:rsid w:val="005A25E8"/>
    <w:rsid w:val="005C4F63"/>
    <w:rsid w:val="005E2321"/>
    <w:rsid w:val="005E62D0"/>
    <w:rsid w:val="00610825"/>
    <w:rsid w:val="00611778"/>
    <w:rsid w:val="0061316B"/>
    <w:rsid w:val="006256FC"/>
    <w:rsid w:val="006428B7"/>
    <w:rsid w:val="00656455"/>
    <w:rsid w:val="0066397C"/>
    <w:rsid w:val="00677A1C"/>
    <w:rsid w:val="006A360E"/>
    <w:rsid w:val="006B3A1E"/>
    <w:rsid w:val="006D1601"/>
    <w:rsid w:val="006E1F92"/>
    <w:rsid w:val="00710503"/>
    <w:rsid w:val="00723D87"/>
    <w:rsid w:val="007661BF"/>
    <w:rsid w:val="007676C2"/>
    <w:rsid w:val="007A71EF"/>
    <w:rsid w:val="007C277B"/>
    <w:rsid w:val="007C64EA"/>
    <w:rsid w:val="007F15E0"/>
    <w:rsid w:val="007F1AFC"/>
    <w:rsid w:val="007F320F"/>
    <w:rsid w:val="00801ABC"/>
    <w:rsid w:val="00803E9E"/>
    <w:rsid w:val="00810949"/>
    <w:rsid w:val="00854E49"/>
    <w:rsid w:val="008610AC"/>
    <w:rsid w:val="008666EC"/>
    <w:rsid w:val="008869E2"/>
    <w:rsid w:val="008944EA"/>
    <w:rsid w:val="008A235F"/>
    <w:rsid w:val="008B3EA6"/>
    <w:rsid w:val="008B559B"/>
    <w:rsid w:val="008D3750"/>
    <w:rsid w:val="008E04CD"/>
    <w:rsid w:val="008E4BA9"/>
    <w:rsid w:val="0090484A"/>
    <w:rsid w:val="009324CC"/>
    <w:rsid w:val="009471B7"/>
    <w:rsid w:val="009502BD"/>
    <w:rsid w:val="0097362B"/>
    <w:rsid w:val="00982225"/>
    <w:rsid w:val="00994E00"/>
    <w:rsid w:val="009B3962"/>
    <w:rsid w:val="009C262E"/>
    <w:rsid w:val="009C314F"/>
    <w:rsid w:val="00A13637"/>
    <w:rsid w:val="00A211E6"/>
    <w:rsid w:val="00A24BC2"/>
    <w:rsid w:val="00A44C0F"/>
    <w:rsid w:val="00A53E24"/>
    <w:rsid w:val="00A756C2"/>
    <w:rsid w:val="00A764F8"/>
    <w:rsid w:val="00AC470C"/>
    <w:rsid w:val="00AE6139"/>
    <w:rsid w:val="00AF1A63"/>
    <w:rsid w:val="00B50AD7"/>
    <w:rsid w:val="00B543B0"/>
    <w:rsid w:val="00B569B8"/>
    <w:rsid w:val="00B60906"/>
    <w:rsid w:val="00B86DB1"/>
    <w:rsid w:val="00B91FFE"/>
    <w:rsid w:val="00BA6CF5"/>
    <w:rsid w:val="00BB2E67"/>
    <w:rsid w:val="00BC3D1D"/>
    <w:rsid w:val="00C06697"/>
    <w:rsid w:val="00C16A19"/>
    <w:rsid w:val="00C23F4A"/>
    <w:rsid w:val="00C2468D"/>
    <w:rsid w:val="00C67DF4"/>
    <w:rsid w:val="00C77B65"/>
    <w:rsid w:val="00C83BA5"/>
    <w:rsid w:val="00CA037B"/>
    <w:rsid w:val="00CC13A3"/>
    <w:rsid w:val="00CC4486"/>
    <w:rsid w:val="00CD6348"/>
    <w:rsid w:val="00CE6F65"/>
    <w:rsid w:val="00D00535"/>
    <w:rsid w:val="00D15881"/>
    <w:rsid w:val="00D16941"/>
    <w:rsid w:val="00D2276F"/>
    <w:rsid w:val="00D27AED"/>
    <w:rsid w:val="00D60C2C"/>
    <w:rsid w:val="00D65D4E"/>
    <w:rsid w:val="00D972B1"/>
    <w:rsid w:val="00DB4291"/>
    <w:rsid w:val="00DC10B1"/>
    <w:rsid w:val="00DE0627"/>
    <w:rsid w:val="00DE3377"/>
    <w:rsid w:val="00DF3386"/>
    <w:rsid w:val="00DF41CE"/>
    <w:rsid w:val="00E00419"/>
    <w:rsid w:val="00E02B66"/>
    <w:rsid w:val="00E241CD"/>
    <w:rsid w:val="00E34588"/>
    <w:rsid w:val="00E8308F"/>
    <w:rsid w:val="00EA25C6"/>
    <w:rsid w:val="00EB12EB"/>
    <w:rsid w:val="00F036D5"/>
    <w:rsid w:val="00F10F82"/>
    <w:rsid w:val="00F16BEB"/>
    <w:rsid w:val="00F2001D"/>
    <w:rsid w:val="00F21FB6"/>
    <w:rsid w:val="00F33F24"/>
    <w:rsid w:val="00F72D52"/>
    <w:rsid w:val="00F83D0F"/>
    <w:rsid w:val="00FA1C43"/>
    <w:rsid w:val="00FA59A1"/>
    <w:rsid w:val="00FE698D"/>
    <w:rsid w:val="06600413"/>
    <w:rsid w:val="082843A2"/>
    <w:rsid w:val="0ABD2836"/>
    <w:rsid w:val="0D214987"/>
    <w:rsid w:val="0E8F287B"/>
    <w:rsid w:val="0EA84022"/>
    <w:rsid w:val="0EC547AC"/>
    <w:rsid w:val="1102284D"/>
    <w:rsid w:val="11DD6E68"/>
    <w:rsid w:val="14BD5864"/>
    <w:rsid w:val="153942A0"/>
    <w:rsid w:val="16404216"/>
    <w:rsid w:val="18C22BF7"/>
    <w:rsid w:val="1A18361C"/>
    <w:rsid w:val="1C661688"/>
    <w:rsid w:val="1C8C3E81"/>
    <w:rsid w:val="1D302AEE"/>
    <w:rsid w:val="1DA44BB2"/>
    <w:rsid w:val="1DC444F7"/>
    <w:rsid w:val="1E741F9E"/>
    <w:rsid w:val="1FBE4F5F"/>
    <w:rsid w:val="20240ED2"/>
    <w:rsid w:val="215F6BAA"/>
    <w:rsid w:val="240C4549"/>
    <w:rsid w:val="247936CC"/>
    <w:rsid w:val="265E4D7E"/>
    <w:rsid w:val="26D7613C"/>
    <w:rsid w:val="29D51DC3"/>
    <w:rsid w:val="2AB73D16"/>
    <w:rsid w:val="2B3A4F1D"/>
    <w:rsid w:val="2B930F55"/>
    <w:rsid w:val="2BDC4481"/>
    <w:rsid w:val="2BEA0858"/>
    <w:rsid w:val="2BFE60D3"/>
    <w:rsid w:val="2D0268A9"/>
    <w:rsid w:val="2D834176"/>
    <w:rsid w:val="2E2E048F"/>
    <w:rsid w:val="32B65909"/>
    <w:rsid w:val="33056A06"/>
    <w:rsid w:val="35DB73FD"/>
    <w:rsid w:val="36BB5015"/>
    <w:rsid w:val="38227638"/>
    <w:rsid w:val="3ABD1396"/>
    <w:rsid w:val="3EFB2E18"/>
    <w:rsid w:val="42A414A6"/>
    <w:rsid w:val="434425DE"/>
    <w:rsid w:val="44BA7226"/>
    <w:rsid w:val="46C73226"/>
    <w:rsid w:val="4A851D59"/>
    <w:rsid w:val="4BC600AD"/>
    <w:rsid w:val="4BD3241B"/>
    <w:rsid w:val="4BDA4471"/>
    <w:rsid w:val="4C416153"/>
    <w:rsid w:val="50742B20"/>
    <w:rsid w:val="528E11C9"/>
    <w:rsid w:val="554B5AE5"/>
    <w:rsid w:val="57FF15EF"/>
    <w:rsid w:val="58680143"/>
    <w:rsid w:val="5871341D"/>
    <w:rsid w:val="588A68D3"/>
    <w:rsid w:val="589D3AB4"/>
    <w:rsid w:val="596A4A33"/>
    <w:rsid w:val="59EA1613"/>
    <w:rsid w:val="5A3579DC"/>
    <w:rsid w:val="5A7814D0"/>
    <w:rsid w:val="5CDD3EE0"/>
    <w:rsid w:val="5D627BDB"/>
    <w:rsid w:val="5F813F87"/>
    <w:rsid w:val="6036660D"/>
    <w:rsid w:val="60E95EFE"/>
    <w:rsid w:val="61C5055D"/>
    <w:rsid w:val="6306012C"/>
    <w:rsid w:val="63621E83"/>
    <w:rsid w:val="68511CA7"/>
    <w:rsid w:val="697438A9"/>
    <w:rsid w:val="69FF110F"/>
    <w:rsid w:val="6AD4631B"/>
    <w:rsid w:val="6BC41BFC"/>
    <w:rsid w:val="6C86245E"/>
    <w:rsid w:val="6D4028F8"/>
    <w:rsid w:val="743305F0"/>
    <w:rsid w:val="74C86748"/>
    <w:rsid w:val="7653184E"/>
    <w:rsid w:val="775F423F"/>
    <w:rsid w:val="79CE1A0A"/>
    <w:rsid w:val="7A186009"/>
    <w:rsid w:val="7A660812"/>
    <w:rsid w:val="7A907273"/>
    <w:rsid w:val="7BC61DE9"/>
    <w:rsid w:val="7C3E7C78"/>
    <w:rsid w:val="7EC936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numPr>
        <w:ilvl w:val="0"/>
        <w:numId w:val="1"/>
      </w:numPr>
      <w:spacing w:before="100" w:beforeAutospacing="1" w:after="100" w:afterAutospacing="1" w:line="480" w:lineRule="auto"/>
      <w:ind w:left="0" w:firstLine="0"/>
      <w:jc w:val="center"/>
      <w:outlineLvl w:val="0"/>
    </w:pPr>
    <w:rPr>
      <w:rFonts w:ascii="Times New Roman" w:hAnsi="Times New Roman" w:eastAsia="宋体" w:cstheme="minorBidi"/>
      <w:b/>
      <w:bCs/>
      <w:kern w:val="44"/>
      <w:sz w:val="28"/>
      <w:szCs w:val="4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ody Text"/>
    <w:basedOn w:val="1"/>
    <w:unhideWhenUsed/>
    <w:qFormat/>
    <w:uiPriority w:val="1"/>
    <w:rPr>
      <w:rFonts w:hint="eastAsia"/>
      <w:sz w:val="32"/>
    </w:r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19"/>
    <w:unhideWhenUsed/>
    <w:qFormat/>
    <w:uiPriority w:val="99"/>
    <w:rPr>
      <w:b/>
      <w:bCs/>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unhideWhenUsed/>
    <w:qFormat/>
    <w:uiPriority w:val="99"/>
    <w:rPr>
      <w:sz w:val="21"/>
      <w:szCs w:val="21"/>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批注文字 字符"/>
    <w:basedOn w:val="13"/>
    <w:link w:val="3"/>
    <w:semiHidden/>
    <w:qFormat/>
    <w:uiPriority w:val="99"/>
  </w:style>
  <w:style w:type="character" w:customStyle="1" w:styleId="19">
    <w:name w:val="批注主题 字符"/>
    <w:basedOn w:val="18"/>
    <w:link w:val="10"/>
    <w:semiHidden/>
    <w:qFormat/>
    <w:uiPriority w:val="99"/>
    <w:rPr>
      <w:b/>
      <w:bCs/>
    </w:rPr>
  </w:style>
  <w:style w:type="character" w:customStyle="1" w:styleId="20">
    <w:name w:val="批注框文本 字符"/>
    <w:basedOn w:val="13"/>
    <w:link w:val="6"/>
    <w:semiHidden/>
    <w:qFormat/>
    <w:uiPriority w:val="99"/>
    <w:rPr>
      <w:sz w:val="18"/>
      <w:szCs w:val="18"/>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2">
    <w:name w:val="日期 字符"/>
    <w:basedOn w:val="13"/>
    <w:link w:val="5"/>
    <w:semiHidden/>
    <w:qFormat/>
    <w:uiPriority w:val="99"/>
    <w:rPr>
      <w:kern w:val="2"/>
      <w:sz w:val="21"/>
      <w:szCs w:val="22"/>
    </w:rPr>
  </w:style>
  <w:style w:type="paragraph" w:styleId="23">
    <w:name w:val="List Paragraph"/>
    <w:basedOn w:val="1"/>
    <w:qFormat/>
    <w:uiPriority w:val="34"/>
    <w:pPr>
      <w:ind w:firstLine="420" w:firstLineChars="200"/>
    </w:pPr>
  </w:style>
  <w:style w:type="character" w:customStyle="1" w:styleId="24">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1613-8CF4-4CC6-B78F-AAFD05822D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12491</Words>
  <Characters>12884</Characters>
  <Lines>25</Lines>
  <Paragraphs>7</Paragraphs>
  <TotalTime>1</TotalTime>
  <ScaleCrop>false</ScaleCrop>
  <LinksUpToDate>false</LinksUpToDate>
  <CharactersWithSpaces>12901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2018-09-26T07:05:00Z</dcterms:created>
  <dc:creator>Qin</dc:creator>
  <cp:lastModifiedBy>chhs</cp:lastModifiedBy>
  <cp:lastPrinted>2017-11-16T07:32:00Z</cp:lastPrinted>
  <dcterms:modified xsi:type="dcterms:W3CDTF">2022-06-14T16:06:42Z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BE2B780AC10F406A8E23A4900881E47F</vt:lpwstr>
  </property>
  <property fmtid="{D5CDD505-2E9C-101B-9397-08002B2CF9AE}" pid="4" name="commondata">
    <vt:lpwstr>eyJoZGlkIjoiMTI0ZWJkYWM3OWExYTU4YjNiMzEyMzM5NzNmYzAyZDAifQ==</vt:lpwstr>
  </property>
</Properties>
</file>