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rPr>
      </w:pPr>
      <w:r>
        <w:rPr>
          <w:rFonts w:hint="eastAsia" w:eastAsia="黑体"/>
          <w:sz w:val="32"/>
        </w:rPr>
        <w:t>附件</w:t>
      </w:r>
      <w:r>
        <w:rPr>
          <w:rFonts w:eastAsia="黑体"/>
          <w:sz w:val="32"/>
        </w:rPr>
        <w:t>2</w:t>
      </w:r>
    </w:p>
    <w:p/>
    <w:p>
      <w:pPr>
        <w:spacing w:line="640" w:lineRule="exact"/>
        <w:jc w:val="center"/>
        <w:rPr>
          <w:rFonts w:eastAsia="方正小标宋简体"/>
          <w:sz w:val="44"/>
        </w:rPr>
      </w:pPr>
      <w:r>
        <w:rPr>
          <w:rFonts w:hint="eastAsia" w:eastAsia="方正小标宋简体"/>
          <w:sz w:val="44"/>
        </w:rPr>
        <w:t>浙江师范大学行知学院第五轮</w:t>
      </w:r>
    </w:p>
    <w:p>
      <w:pPr>
        <w:spacing w:line="640" w:lineRule="exact"/>
        <w:jc w:val="center"/>
        <w:rPr>
          <w:rFonts w:eastAsia="方正小标宋简体"/>
          <w:sz w:val="44"/>
        </w:rPr>
      </w:pPr>
      <w:r>
        <w:rPr>
          <w:rFonts w:hint="eastAsia" w:eastAsia="方正小标宋简体"/>
          <w:sz w:val="44"/>
        </w:rPr>
        <w:t>其他专业技术岗位设置与聘任实施细则</w:t>
      </w:r>
    </w:p>
    <w:p/>
    <w:p/>
    <w:p>
      <w:pPr>
        <w:spacing w:line="560" w:lineRule="exact"/>
        <w:ind w:firstLine="640" w:firstLineChars="200"/>
        <w:rPr>
          <w:rFonts w:eastAsia="仿宋_GB2312"/>
          <w:color w:val="000000"/>
          <w:sz w:val="32"/>
        </w:rPr>
      </w:pPr>
      <w:r>
        <w:rPr>
          <w:rFonts w:hint="eastAsia" w:eastAsia="仿宋_GB2312"/>
          <w:color w:val="000000"/>
          <w:sz w:val="32"/>
        </w:rPr>
        <w:t>为进一步调动其他专业技术人员的工作积极性，保障人才培养、科学研究与社会服务工作的顺利进行，根据《浙江师范大学行知学院第五轮岗位设置与聘任实施办法》，结合学院实际，制定本实施细则。</w:t>
      </w:r>
    </w:p>
    <w:p>
      <w:pPr>
        <w:spacing w:line="560" w:lineRule="exact"/>
        <w:ind w:firstLine="640" w:firstLineChars="200"/>
        <w:rPr>
          <w:rFonts w:eastAsia="黑体"/>
          <w:color w:val="000000"/>
          <w:sz w:val="32"/>
        </w:rPr>
      </w:pPr>
      <w:r>
        <w:rPr>
          <w:rFonts w:hint="eastAsia" w:eastAsia="黑体"/>
          <w:color w:val="000000"/>
          <w:sz w:val="32"/>
        </w:rPr>
        <w:t>一、岗位设置</w:t>
      </w:r>
    </w:p>
    <w:p>
      <w:pPr>
        <w:spacing w:line="560" w:lineRule="exact"/>
        <w:ind w:firstLine="640" w:firstLineChars="200"/>
        <w:rPr>
          <w:rFonts w:eastAsia="楷体_GB2312"/>
          <w:color w:val="000000"/>
          <w:sz w:val="32"/>
        </w:rPr>
      </w:pPr>
      <w:r>
        <w:rPr>
          <w:rFonts w:hint="eastAsia" w:eastAsia="楷体_GB2312"/>
          <w:color w:val="000000"/>
          <w:sz w:val="32"/>
        </w:rPr>
        <w:t>（一）设置范围</w:t>
      </w:r>
    </w:p>
    <w:p>
      <w:pPr>
        <w:spacing w:line="560" w:lineRule="exact"/>
        <w:ind w:firstLine="640" w:firstLineChars="200"/>
        <w:rPr>
          <w:rFonts w:eastAsia="仿宋_GB2312"/>
          <w:color w:val="000000"/>
          <w:sz w:val="32"/>
        </w:rPr>
      </w:pPr>
      <w:r>
        <w:rPr>
          <w:rFonts w:hint="eastAsia" w:eastAsia="仿宋_GB2312"/>
          <w:color w:val="000000"/>
          <w:sz w:val="32"/>
        </w:rPr>
        <w:t>其他专业技术岗位指从事教学科研工作以外的专业技术工作，具有相应专业技术水平和能力要求的工作岗位，主要包括工程、实验、图资、档案、编辑出版、会计、审计、卫技、幼教等专业技术岗位。</w:t>
      </w:r>
    </w:p>
    <w:p>
      <w:pPr>
        <w:spacing w:line="560" w:lineRule="exact"/>
        <w:ind w:firstLine="640" w:firstLineChars="200"/>
        <w:rPr>
          <w:rFonts w:eastAsia="楷体_GB2312"/>
          <w:color w:val="000000"/>
          <w:sz w:val="32"/>
        </w:rPr>
      </w:pPr>
      <w:r>
        <w:rPr>
          <w:rFonts w:hint="eastAsia" w:eastAsia="楷体_GB2312"/>
          <w:color w:val="000000"/>
          <w:sz w:val="32"/>
        </w:rPr>
        <w:t>（二）设置原则</w:t>
      </w:r>
    </w:p>
    <w:p>
      <w:pPr>
        <w:spacing w:line="56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．总量控制，分类管理</w:t>
      </w:r>
    </w:p>
    <w:p>
      <w:pPr>
        <w:spacing w:line="560" w:lineRule="exact"/>
        <w:ind w:firstLine="640" w:firstLineChars="200"/>
        <w:rPr>
          <w:rFonts w:eastAsia="仿宋_GB2312"/>
          <w:color w:val="000000"/>
          <w:sz w:val="32"/>
        </w:rPr>
      </w:pPr>
      <w:r>
        <w:rPr>
          <w:rFonts w:hint="eastAsia" w:eastAsia="仿宋_GB2312"/>
          <w:color w:val="000000"/>
          <w:sz w:val="32"/>
        </w:rPr>
        <w:t>在上级主管部门核准的其他专业技术岗位总量、结构比例范围内，结合学院事业发展需要核定总量，对其他专业技术岗位实行分类、分级管理。</w:t>
      </w:r>
    </w:p>
    <w:p>
      <w:pPr>
        <w:spacing w:line="56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．按需设岗，优化结构</w:t>
      </w:r>
    </w:p>
    <w:p>
      <w:pPr>
        <w:spacing w:line="560" w:lineRule="exact"/>
        <w:ind w:firstLine="640" w:firstLineChars="200"/>
        <w:rPr>
          <w:rFonts w:eastAsia="仿宋_GB2312"/>
          <w:color w:val="000000"/>
          <w:sz w:val="32"/>
        </w:rPr>
      </w:pPr>
      <w:r>
        <w:rPr>
          <w:rFonts w:hint="eastAsia" w:eastAsia="仿宋_GB2312"/>
          <w:color w:val="000000"/>
          <w:sz w:val="32"/>
        </w:rPr>
        <w:t>根据学院发展规划，合理设置其他专业技术岗位，优化队伍结构，促进其他专业技术队伍协调发展。</w:t>
      </w:r>
    </w:p>
    <w:p>
      <w:pPr>
        <w:spacing w:line="56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．能上能下，竞聘上岗</w:t>
      </w:r>
    </w:p>
    <w:p>
      <w:pPr>
        <w:spacing w:line="560" w:lineRule="exact"/>
        <w:ind w:firstLine="640" w:firstLineChars="200"/>
        <w:rPr>
          <w:rFonts w:eastAsia="仿宋_GB2312"/>
          <w:color w:val="000000"/>
          <w:sz w:val="32"/>
        </w:rPr>
      </w:pPr>
      <w:r>
        <w:rPr>
          <w:rFonts w:hint="eastAsia" w:eastAsia="仿宋_GB2312"/>
          <w:color w:val="000000"/>
          <w:sz w:val="32"/>
        </w:rPr>
        <w:t>在核定的岗位总量和结构比例范围内，根据其他专业技术人员的工作业绩实施竞聘上岗，做到能上能下、薪随岗变。竞聘一般应当逐级竞聘。工作业绩特别优秀和突出的人员可以越级竞聘，上一聘期降岗人员聘期考核达到原岗位考核要求的可参加原岗位竞聘。</w:t>
      </w:r>
    </w:p>
    <w:p>
      <w:pPr>
        <w:spacing w:line="560" w:lineRule="exact"/>
        <w:ind w:firstLine="640" w:firstLineChars="200"/>
        <w:rPr>
          <w:rFonts w:eastAsia="仿宋_GB2312"/>
          <w:color w:val="000000"/>
          <w:sz w:val="32"/>
        </w:rPr>
      </w:pPr>
      <w:r>
        <w:rPr>
          <w:rFonts w:eastAsia="仿宋_GB2312"/>
          <w:color w:val="000000"/>
          <w:sz w:val="32"/>
        </w:rPr>
        <w:t>4</w:t>
      </w:r>
      <w:r>
        <w:rPr>
          <w:rFonts w:hint="eastAsia" w:eastAsia="仿宋_GB2312"/>
          <w:color w:val="000000"/>
          <w:sz w:val="32"/>
        </w:rPr>
        <w:t>．统筹兼顾，保障服务</w:t>
      </w:r>
    </w:p>
    <w:p>
      <w:pPr>
        <w:spacing w:line="560" w:lineRule="exact"/>
        <w:ind w:firstLine="640" w:firstLineChars="200"/>
        <w:rPr>
          <w:rFonts w:eastAsia="仿宋_GB2312"/>
          <w:color w:val="000000"/>
          <w:sz w:val="32"/>
        </w:rPr>
      </w:pPr>
      <w:r>
        <w:rPr>
          <w:rFonts w:hint="eastAsia" w:eastAsia="仿宋_GB2312"/>
          <w:color w:val="000000"/>
          <w:sz w:val="32"/>
        </w:rPr>
        <w:t>其他专业技术岗位的设置要兼顾各方面工作需要，为学院各项事业发展提供优质服务。</w:t>
      </w:r>
    </w:p>
    <w:p>
      <w:pPr>
        <w:spacing w:line="560" w:lineRule="exact"/>
        <w:ind w:firstLine="640" w:firstLineChars="200"/>
        <w:rPr>
          <w:rFonts w:eastAsia="黑体"/>
          <w:color w:val="000000"/>
          <w:sz w:val="32"/>
        </w:rPr>
      </w:pPr>
      <w:r>
        <w:rPr>
          <w:rFonts w:hint="eastAsia" w:eastAsia="黑体"/>
          <w:color w:val="000000"/>
          <w:sz w:val="32"/>
        </w:rPr>
        <w:t>二、岗位聘任</w:t>
      </w:r>
    </w:p>
    <w:p>
      <w:pPr>
        <w:spacing w:line="560" w:lineRule="exact"/>
        <w:ind w:firstLine="640" w:firstLineChars="200"/>
        <w:rPr>
          <w:rFonts w:eastAsia="楷体_GB2312"/>
          <w:color w:val="000000"/>
          <w:sz w:val="32"/>
        </w:rPr>
      </w:pPr>
      <w:r>
        <w:rPr>
          <w:rFonts w:hint="eastAsia" w:eastAsia="楷体_GB2312"/>
          <w:color w:val="000000"/>
          <w:sz w:val="32"/>
        </w:rPr>
        <w:t>（一）聘任办法</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rPr>
        <w:t>．其他专业技术正高级岗位指标不分系列，在核定的总量内统一聘任；</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eastAsia="仿宋_GB2312"/>
          <w:color w:val="000000"/>
          <w:sz w:val="32"/>
          <w:szCs w:val="32"/>
        </w:rPr>
        <w:t>．副高级及以下岗位指标不分系列，在核定的总量内聘任，其内部等级分系列聘任。</w:t>
      </w:r>
    </w:p>
    <w:p>
      <w:pPr>
        <w:spacing w:line="560" w:lineRule="exact"/>
        <w:ind w:firstLine="640" w:firstLineChars="200"/>
        <w:rPr>
          <w:rFonts w:eastAsia="楷体_GB2312"/>
          <w:color w:val="000000"/>
          <w:sz w:val="32"/>
        </w:rPr>
      </w:pPr>
      <w:r>
        <w:rPr>
          <w:rFonts w:hint="eastAsia" w:eastAsia="楷体_GB2312"/>
          <w:color w:val="000000"/>
          <w:sz w:val="32"/>
        </w:rPr>
        <w:t>（二）基本条件</w:t>
      </w:r>
    </w:p>
    <w:p>
      <w:pPr>
        <w:spacing w:line="56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．遵守宪法和法律，品行良好；</w:t>
      </w:r>
    </w:p>
    <w:p>
      <w:pPr>
        <w:spacing w:line="56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．具备岗位所需要的专业技术能力；</w:t>
      </w:r>
    </w:p>
    <w:p>
      <w:pPr>
        <w:spacing w:line="56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．对于实行职（执）业资格制度的岗位，符合国家对职（执）业资格的要求；</w:t>
      </w:r>
    </w:p>
    <w:p>
      <w:pPr>
        <w:spacing w:line="560" w:lineRule="exact"/>
        <w:ind w:firstLine="640" w:firstLineChars="200"/>
        <w:rPr>
          <w:rFonts w:eastAsia="仿宋_GB2312"/>
          <w:color w:val="000000"/>
          <w:sz w:val="32"/>
        </w:rPr>
      </w:pPr>
      <w:r>
        <w:rPr>
          <w:rFonts w:hint="eastAsia" w:eastAsia="仿宋_GB2312"/>
          <w:color w:val="000000"/>
          <w:sz w:val="32"/>
        </w:rPr>
        <w:t>4．身心健康，能适应岗位要求。</w:t>
      </w:r>
    </w:p>
    <w:p>
      <w:pPr>
        <w:spacing w:line="560" w:lineRule="exact"/>
        <w:ind w:firstLine="640" w:firstLineChars="200"/>
        <w:rPr>
          <w:rFonts w:eastAsia="楷体_GB2312"/>
          <w:color w:val="000000"/>
          <w:sz w:val="32"/>
        </w:rPr>
      </w:pPr>
      <w:r>
        <w:rPr>
          <w:rFonts w:hint="eastAsia" w:eastAsia="楷体_GB2312"/>
          <w:color w:val="000000"/>
          <w:sz w:val="32"/>
        </w:rPr>
        <w:t>（三）申报条件</w:t>
      </w:r>
    </w:p>
    <w:p>
      <w:pPr>
        <w:spacing w:line="560" w:lineRule="exact"/>
        <w:ind w:firstLine="640" w:firstLineChars="200"/>
        <w:rPr>
          <w:rFonts w:eastAsia="仿宋_GB2312"/>
          <w:color w:val="000000"/>
          <w:sz w:val="32"/>
        </w:rPr>
      </w:pPr>
      <w:r>
        <w:rPr>
          <w:rFonts w:eastAsia="仿宋_GB2312"/>
          <w:color w:val="000000"/>
          <w:sz w:val="32"/>
        </w:rPr>
        <w:t>1</w:t>
      </w:r>
      <w:r>
        <w:rPr>
          <w:rFonts w:hint="eastAsia" w:eastAsia="仿宋_GB2312"/>
          <w:color w:val="000000"/>
          <w:sz w:val="32"/>
        </w:rPr>
        <w:t>．三级岗位</w:t>
      </w:r>
    </w:p>
    <w:p>
      <w:pPr>
        <w:adjustRightInd w:val="0"/>
        <w:snapToGrid w:val="0"/>
        <w:spacing w:line="560" w:lineRule="exact"/>
        <w:ind w:firstLine="640" w:firstLineChars="200"/>
        <w:rPr>
          <w:rFonts w:eastAsia="仿宋_GB2312"/>
          <w:sz w:val="32"/>
          <w:szCs w:val="32"/>
        </w:rPr>
      </w:pPr>
      <w:r>
        <w:rPr>
          <w:rFonts w:hint="eastAsia" w:eastAsia="仿宋_GB2312"/>
          <w:sz w:val="32"/>
          <w:szCs w:val="32"/>
        </w:rPr>
        <w:t>第四轮聘期中正高三级岗位考核合格，可以申报三级岗位。</w:t>
      </w:r>
    </w:p>
    <w:p>
      <w:pPr>
        <w:adjustRightInd w:val="0"/>
        <w:snapToGrid w:val="0"/>
        <w:spacing w:line="560" w:lineRule="exact"/>
        <w:ind w:firstLine="640" w:firstLineChars="200"/>
        <w:rPr>
          <w:rFonts w:eastAsia="仿宋_GB2312"/>
          <w:color w:val="auto"/>
          <w:sz w:val="32"/>
          <w:szCs w:val="32"/>
        </w:rPr>
      </w:pPr>
      <w:r>
        <w:rPr>
          <w:rFonts w:hint="eastAsia" w:eastAsia="仿宋_GB2312"/>
          <w:sz w:val="32"/>
          <w:szCs w:val="32"/>
        </w:rPr>
        <w:t>从四级岗位晋升三级岗位的申报条件，根据正高任职年限、任正高职务以来取得的业绩以及上一聘期内新获得或立项的业绩进行设定，要求同时符合（</w:t>
      </w:r>
      <w:r>
        <w:rPr>
          <w:rFonts w:hint="eastAsia" w:eastAsia="仿宋_GB2312"/>
          <w:color w:val="auto"/>
          <w:sz w:val="32"/>
          <w:szCs w:val="32"/>
        </w:rPr>
        <w:t>1）（2）两项条件。单项科研业绩分以科研计分文件分值为准，在成果获得或立项当年以第一完成人（通讯作者）足额计分，不以科研业绩系统分配分值计分。</w:t>
      </w:r>
    </w:p>
    <w:p>
      <w:pPr>
        <w:adjustRightInd w:val="0"/>
        <w:snapToGrid w:val="0"/>
        <w:spacing w:line="560" w:lineRule="exact"/>
        <w:ind w:firstLine="640" w:firstLineChars="200"/>
        <w:rPr>
          <w:rFonts w:eastAsia="仿宋_GB2312"/>
          <w:color w:val="auto"/>
          <w:sz w:val="32"/>
          <w:szCs w:val="32"/>
        </w:rPr>
      </w:pPr>
      <w:r>
        <w:rPr>
          <w:rFonts w:hint="eastAsia" w:eastAsia="仿宋_GB2312"/>
          <w:color w:val="auto"/>
          <w:sz w:val="32"/>
        </w:rPr>
        <w:t>（</w:t>
      </w:r>
      <w:r>
        <w:rPr>
          <w:rFonts w:eastAsia="仿宋_GB2312"/>
          <w:color w:val="auto"/>
          <w:sz w:val="32"/>
        </w:rPr>
        <w:t>1</w:t>
      </w:r>
      <w:r>
        <w:rPr>
          <w:rFonts w:hint="eastAsia" w:eastAsia="仿宋_GB2312"/>
          <w:color w:val="auto"/>
          <w:sz w:val="32"/>
        </w:rPr>
        <w:t>）申报三级岗位，要求上一聘期新获得或立项的业绩达到以下选项条件之一</w:t>
      </w:r>
    </w:p>
    <w:p>
      <w:pPr>
        <w:spacing w:line="560" w:lineRule="exact"/>
        <w:ind w:firstLine="640" w:firstLineChars="200"/>
        <w:rPr>
          <w:rFonts w:eastAsia="仿宋_GB2312"/>
          <w:color w:val="000000"/>
          <w:sz w:val="32"/>
        </w:rPr>
      </w:pPr>
    </w:p>
    <w:p>
      <w:pPr>
        <w:spacing w:line="560" w:lineRule="exact"/>
        <w:ind w:firstLine="640" w:firstLineChars="200"/>
        <w:rPr>
          <w:rFonts w:eastAsia="仿宋_GB2312"/>
          <w:sz w:val="32"/>
          <w:szCs w:val="32"/>
        </w:rPr>
      </w:pPr>
      <w:r>
        <w:rPr>
          <w:rFonts w:hint="eastAsia" w:eastAsia="仿宋_GB2312"/>
          <w:sz w:val="32"/>
          <w:szCs w:val="32"/>
        </w:rPr>
        <w:t>①限单项100及以上科研成果用于计分，人文社科类科研业绩计分达600分，理工科类科研业绩计分达800分。同一成果仅限一人使用，且只能使用一次。</w:t>
      </w:r>
    </w:p>
    <w:p>
      <w:pPr>
        <w:spacing w:line="560" w:lineRule="exact"/>
        <w:ind w:firstLine="640" w:firstLineChars="200"/>
        <w:rPr>
          <w:rFonts w:eastAsia="仿宋_GB2312"/>
          <w:sz w:val="32"/>
          <w:szCs w:val="32"/>
        </w:rPr>
      </w:pPr>
      <w:r>
        <w:rPr>
          <w:rFonts w:hint="eastAsia" w:eastAsia="仿宋_GB2312"/>
          <w:sz w:val="32"/>
          <w:szCs w:val="32"/>
        </w:rPr>
        <w:t>②省级教学成果奖二等奖及以上奖项的第一获得者。</w:t>
      </w:r>
    </w:p>
    <w:p>
      <w:pPr>
        <w:spacing w:line="560" w:lineRule="exact"/>
        <w:ind w:firstLine="640" w:firstLineChars="200"/>
        <w:rPr>
          <w:rFonts w:eastAsia="仿宋_GB2312"/>
          <w:sz w:val="32"/>
          <w:szCs w:val="32"/>
        </w:rPr>
      </w:pPr>
      <w:r>
        <w:rPr>
          <w:rFonts w:hint="eastAsia" w:eastAsia="仿宋_GB2312"/>
          <w:sz w:val="32"/>
          <w:szCs w:val="32"/>
        </w:rPr>
        <w:t>③纳入省教育厅本科教学业绩考核的学科竞赛中取得全国最高或次高奖获得者的第一指导教师，或取得省部级教学建设项目，如教改项目、课程、教材、实验示范中心、虚拟仿真项目等。</w:t>
      </w:r>
    </w:p>
    <w:p>
      <w:pPr>
        <w:spacing w:line="560" w:lineRule="exact"/>
        <w:ind w:firstLine="640" w:firstLineChars="200"/>
        <w:rPr>
          <w:rFonts w:eastAsia="仿宋_GB2312"/>
          <w:sz w:val="32"/>
          <w:szCs w:val="32"/>
        </w:rPr>
      </w:pPr>
      <w:r>
        <w:rPr>
          <w:rFonts w:hint="eastAsia" w:eastAsia="仿宋_GB2312"/>
          <w:sz w:val="32"/>
          <w:szCs w:val="32"/>
        </w:rPr>
        <w:t>（2）申报三级岗位，同时要求任正高职务以来符合下列条件之一</w:t>
      </w:r>
    </w:p>
    <w:p>
      <w:pPr>
        <w:spacing w:line="560" w:lineRule="exact"/>
        <w:ind w:firstLine="640" w:firstLineChars="200"/>
        <w:rPr>
          <w:rFonts w:eastAsia="仿宋_GB2312"/>
          <w:sz w:val="32"/>
          <w:szCs w:val="32"/>
        </w:rPr>
      </w:pPr>
      <w:r>
        <w:rPr>
          <w:rFonts w:hint="eastAsia" w:eastAsia="仿宋_GB2312"/>
          <w:sz w:val="32"/>
          <w:szCs w:val="32"/>
        </w:rPr>
        <w:t>①符合专业技术二级岗位申报条件。</w:t>
      </w:r>
    </w:p>
    <w:p>
      <w:pPr>
        <w:spacing w:line="560" w:lineRule="exact"/>
        <w:ind w:firstLine="640" w:firstLineChars="200"/>
        <w:rPr>
          <w:rFonts w:eastAsia="仿宋_GB2312"/>
          <w:sz w:val="32"/>
          <w:szCs w:val="32"/>
        </w:rPr>
      </w:pPr>
      <w:r>
        <w:rPr>
          <w:rFonts w:hint="eastAsia" w:eastAsia="仿宋_GB2312"/>
          <w:sz w:val="32"/>
          <w:szCs w:val="32"/>
        </w:rPr>
        <w:t>②任职满15年及以上，在学科建设、专业建设、人才培养、科学研究、社会服务及管理工作中作出重要贡献者。</w:t>
      </w:r>
    </w:p>
    <w:p>
      <w:pPr>
        <w:spacing w:line="560" w:lineRule="exact"/>
        <w:ind w:firstLine="640" w:firstLineChars="200"/>
        <w:rPr>
          <w:rFonts w:eastAsia="仿宋_GB2312"/>
          <w:sz w:val="32"/>
          <w:szCs w:val="32"/>
        </w:rPr>
      </w:pPr>
      <w:r>
        <w:rPr>
          <w:rFonts w:hint="eastAsia" w:eastAsia="仿宋_GB2312"/>
          <w:sz w:val="32"/>
          <w:szCs w:val="32"/>
        </w:rPr>
        <w:t>③任职满12年及以上，且符合下列条件选项1项。</w:t>
      </w:r>
    </w:p>
    <w:p>
      <w:pPr>
        <w:spacing w:line="560" w:lineRule="exact"/>
        <w:ind w:firstLine="640" w:firstLineChars="200"/>
        <w:rPr>
          <w:rFonts w:eastAsia="仿宋_GB2312"/>
          <w:sz w:val="32"/>
          <w:szCs w:val="32"/>
        </w:rPr>
      </w:pPr>
      <w:r>
        <w:rPr>
          <w:rFonts w:hint="eastAsia" w:eastAsia="仿宋_GB2312"/>
          <w:sz w:val="32"/>
          <w:szCs w:val="32"/>
        </w:rPr>
        <w:t>④任职满9年及以上，且符合下列条件选项2项。</w:t>
      </w:r>
    </w:p>
    <w:p>
      <w:pPr>
        <w:spacing w:line="560" w:lineRule="exact"/>
        <w:ind w:firstLine="640" w:firstLineChars="200"/>
        <w:rPr>
          <w:rFonts w:eastAsia="仿宋_GB2312"/>
          <w:sz w:val="32"/>
          <w:szCs w:val="32"/>
        </w:rPr>
      </w:pPr>
      <w:r>
        <w:rPr>
          <w:rFonts w:hint="eastAsia" w:eastAsia="仿宋_GB2312"/>
          <w:sz w:val="32"/>
          <w:szCs w:val="32"/>
        </w:rPr>
        <w:t>⑤任职满6年及以上，且符合下列条件选项3项。</w:t>
      </w:r>
    </w:p>
    <w:p>
      <w:pPr>
        <w:spacing w:line="560" w:lineRule="exact"/>
        <w:ind w:firstLine="640" w:firstLineChars="200"/>
        <w:rPr>
          <w:rFonts w:eastAsia="仿宋_GB2312"/>
          <w:sz w:val="32"/>
          <w:szCs w:val="32"/>
        </w:rPr>
      </w:pPr>
      <w:r>
        <w:rPr>
          <w:rFonts w:hint="eastAsia" w:eastAsia="仿宋_GB2312"/>
          <w:sz w:val="32"/>
          <w:szCs w:val="32"/>
        </w:rPr>
        <w:t>⑥任职满3年及以上，且符合下列条件选项4项。</w:t>
      </w:r>
    </w:p>
    <w:p>
      <w:pPr>
        <w:spacing w:line="560" w:lineRule="exact"/>
        <w:ind w:firstLine="640" w:firstLineChars="200"/>
        <w:rPr>
          <w:rFonts w:eastAsia="仿宋_GB2312"/>
          <w:sz w:val="32"/>
          <w:szCs w:val="32"/>
        </w:rPr>
      </w:pPr>
      <w:r>
        <w:rPr>
          <w:rFonts w:hint="eastAsia" w:eastAsia="仿宋_GB2312"/>
          <w:sz w:val="32"/>
          <w:szCs w:val="32"/>
        </w:rPr>
        <w:fldChar w:fldCharType="begin"/>
      </w:r>
      <w:r>
        <w:rPr>
          <w:rFonts w:hint="eastAsia" w:eastAsia="仿宋_GB2312"/>
          <w:sz w:val="32"/>
          <w:szCs w:val="32"/>
        </w:rPr>
        <w:instrText xml:space="preserve"> = 7 \* GB3 \* MERGEFORMAT </w:instrText>
      </w:r>
      <w:r>
        <w:rPr>
          <w:rFonts w:hint="eastAsia" w:eastAsia="仿宋_GB2312"/>
          <w:sz w:val="32"/>
          <w:szCs w:val="32"/>
        </w:rPr>
        <w:fldChar w:fldCharType="separate"/>
      </w:r>
      <w:r>
        <w:rPr>
          <w:rFonts w:hint="eastAsia" w:eastAsia="仿宋_GB2312"/>
          <w:sz w:val="32"/>
          <w:szCs w:val="32"/>
        </w:rPr>
        <w:t>⑦</w:t>
      </w:r>
      <w:r>
        <w:rPr>
          <w:rFonts w:hint="eastAsia" w:eastAsia="仿宋_GB2312"/>
          <w:sz w:val="32"/>
          <w:szCs w:val="32"/>
        </w:rPr>
        <w:fldChar w:fldCharType="end"/>
      </w:r>
      <w:r>
        <w:rPr>
          <w:rFonts w:hint="eastAsia" w:eastAsia="仿宋_GB2312"/>
          <w:sz w:val="32"/>
          <w:szCs w:val="32"/>
        </w:rPr>
        <w:t>任现职以来，取得突破性高水平业绩的，可以不受任职年限和条件选项的限制。</w:t>
      </w:r>
    </w:p>
    <w:p>
      <w:pPr>
        <w:spacing w:line="560" w:lineRule="exact"/>
        <w:ind w:firstLine="640" w:firstLineChars="200"/>
        <w:rPr>
          <w:rFonts w:eastAsia="仿宋_GB2312"/>
          <w:sz w:val="32"/>
          <w:szCs w:val="32"/>
        </w:rPr>
      </w:pPr>
      <w:r>
        <w:rPr>
          <w:rFonts w:hint="eastAsia" w:eastAsia="仿宋_GB2312"/>
          <w:sz w:val="32"/>
          <w:szCs w:val="32"/>
        </w:rPr>
        <w:t>具体条件选项如下，各项业绩不重复使用（以下所涉及到的平台、专业、实验中心、联盟或基地等负责人，均需任职满18个月及以上）：</w:t>
      </w:r>
    </w:p>
    <w:p>
      <w:pPr>
        <w:spacing w:line="560" w:lineRule="exact"/>
        <w:ind w:firstLine="632" w:firstLineChars="200"/>
        <w:rPr>
          <w:rFonts w:eastAsia="仿宋_GB2312"/>
          <w:spacing w:val="-2"/>
          <w:sz w:val="32"/>
          <w:szCs w:val="32"/>
        </w:rPr>
      </w:pPr>
      <w:r>
        <w:rPr>
          <w:rFonts w:hint="eastAsia" w:eastAsia="仿宋_GB2312"/>
          <w:spacing w:val="-2"/>
          <w:sz w:val="32"/>
          <w:szCs w:val="32"/>
        </w:rPr>
        <w:t>A．纵向科研项目：限单项科研业绩计分800分及以上主持人。</w:t>
      </w:r>
    </w:p>
    <w:p>
      <w:pPr>
        <w:spacing w:line="560" w:lineRule="exact"/>
        <w:ind w:firstLine="640" w:firstLineChars="200"/>
        <w:rPr>
          <w:rFonts w:eastAsia="仿宋_GB2312"/>
          <w:sz w:val="32"/>
          <w:szCs w:val="32"/>
        </w:rPr>
      </w:pPr>
      <w:r>
        <w:rPr>
          <w:rFonts w:hint="eastAsia" w:eastAsia="仿宋_GB2312"/>
          <w:sz w:val="32"/>
          <w:szCs w:val="32"/>
        </w:rPr>
        <w:t>B．横向科研项目（含成果转化）：限重大横向项目主持人。</w:t>
      </w:r>
    </w:p>
    <w:p>
      <w:pPr>
        <w:spacing w:line="560" w:lineRule="exact"/>
        <w:ind w:firstLine="640" w:firstLineChars="200"/>
        <w:rPr>
          <w:rFonts w:eastAsia="仿宋_GB2312"/>
          <w:sz w:val="32"/>
          <w:szCs w:val="32"/>
        </w:rPr>
      </w:pPr>
      <w:r>
        <w:rPr>
          <w:rFonts w:hint="eastAsia" w:eastAsia="仿宋_GB2312"/>
          <w:sz w:val="32"/>
          <w:szCs w:val="32"/>
        </w:rPr>
        <w:t>C．科研成果：人文社科教师以第一作者身份在《中国社会科学》发表论文1篇及以上，或著作入选《国家哲学社会科学优秀成果文库》1部及以上；或单项科研业绩200分以上论文或著作累计600分及以上，或单项科研业绩100分以上论文或著作累计900分及以上。</w:t>
      </w:r>
    </w:p>
    <w:p>
      <w:pPr>
        <w:spacing w:line="560" w:lineRule="exact"/>
        <w:ind w:firstLine="640" w:firstLineChars="200"/>
        <w:rPr>
          <w:rFonts w:eastAsia="仿宋_GB2312"/>
          <w:sz w:val="32"/>
          <w:szCs w:val="32"/>
        </w:rPr>
      </w:pPr>
      <w:r>
        <w:rPr>
          <w:rFonts w:hint="eastAsia" w:eastAsia="仿宋_GB2312"/>
          <w:sz w:val="32"/>
          <w:szCs w:val="32"/>
        </w:rPr>
        <w:t>理工科教师在NATURE、SCIENCE、CELL正刊上以第一或第二单位发表论文1篇；或以第一作者或通讯作者身份发表单项科研业绩200分以上论文或著作累计1000分及以上，或授权发明专利6件且转让3件及以上。</w:t>
      </w:r>
    </w:p>
    <w:p>
      <w:pPr>
        <w:spacing w:line="560" w:lineRule="exact"/>
        <w:ind w:firstLine="640" w:firstLineChars="200"/>
        <w:rPr>
          <w:rFonts w:eastAsia="仿宋_GB2312"/>
          <w:sz w:val="32"/>
          <w:szCs w:val="32"/>
        </w:rPr>
      </w:pPr>
      <w:r>
        <w:rPr>
          <w:rFonts w:hint="eastAsia" w:eastAsia="仿宋_GB2312"/>
          <w:sz w:val="32"/>
          <w:szCs w:val="32"/>
        </w:rPr>
        <w:t>D．科研获奖：限单项科研业绩计分500分及以上第一完成人；或国家科学技术奖（国家自然科学奖、科技进步奖、国家发明奖）一等奖的前五获得者或二等奖的前三获得者。</w:t>
      </w:r>
    </w:p>
    <w:p>
      <w:pPr>
        <w:spacing w:line="560" w:lineRule="exact"/>
        <w:ind w:firstLine="640" w:firstLineChars="200"/>
        <w:rPr>
          <w:rFonts w:eastAsia="仿宋_GB2312"/>
          <w:sz w:val="32"/>
          <w:szCs w:val="32"/>
        </w:rPr>
      </w:pPr>
      <w:r>
        <w:rPr>
          <w:rFonts w:hint="eastAsia" w:eastAsia="仿宋_GB2312"/>
          <w:sz w:val="32"/>
          <w:szCs w:val="32"/>
        </w:rPr>
        <w:t>E．标准编制和决策咨询：限标准编制中单项科研业绩计分100分及以上、决策咨询中单项科研业绩计分200分及以上第一完成人。</w:t>
      </w:r>
    </w:p>
    <w:p>
      <w:pPr>
        <w:spacing w:line="560" w:lineRule="exact"/>
        <w:ind w:firstLine="640" w:firstLineChars="200"/>
        <w:rPr>
          <w:rFonts w:eastAsia="仿宋_GB2312"/>
          <w:sz w:val="32"/>
          <w:szCs w:val="32"/>
        </w:rPr>
      </w:pPr>
      <w:r>
        <w:rPr>
          <w:rFonts w:hint="eastAsia" w:eastAsia="仿宋_GB2312"/>
          <w:sz w:val="32"/>
          <w:szCs w:val="32"/>
        </w:rPr>
        <w:t>F．创作获奖：限单项科研业绩计分500分及以上第一获得者。</w:t>
      </w:r>
    </w:p>
    <w:p>
      <w:pPr>
        <w:spacing w:line="560" w:lineRule="exact"/>
        <w:ind w:firstLine="640" w:firstLineChars="200"/>
        <w:rPr>
          <w:rFonts w:eastAsia="仿宋_GB2312"/>
          <w:sz w:val="32"/>
          <w:szCs w:val="32"/>
        </w:rPr>
      </w:pPr>
      <w:r>
        <w:rPr>
          <w:rFonts w:hint="eastAsia" w:eastAsia="仿宋_GB2312"/>
          <w:sz w:val="32"/>
          <w:szCs w:val="32"/>
        </w:rPr>
        <w:t>G．学科与平台建设：限科研平台（三）及以上层次平台（详见附件</w:t>
      </w:r>
      <w:r>
        <w:rPr>
          <w:rFonts w:hint="default" w:eastAsia="仿宋_GB2312"/>
          <w:sz w:val="32"/>
          <w:szCs w:val="32"/>
          <w:lang w:val="en-US"/>
        </w:rPr>
        <w:t>5</w:t>
      </w:r>
      <w:bookmarkStart w:id="0" w:name="_GoBack"/>
      <w:bookmarkEnd w:id="0"/>
      <w:r>
        <w:rPr>
          <w:rFonts w:hint="eastAsia" w:eastAsia="仿宋_GB2312"/>
          <w:sz w:val="32"/>
          <w:szCs w:val="32"/>
        </w:rPr>
        <w:t>）负责人。</w:t>
      </w:r>
    </w:p>
    <w:p>
      <w:pPr>
        <w:spacing w:line="560" w:lineRule="exact"/>
        <w:ind w:firstLine="640" w:firstLineChars="200"/>
        <w:rPr>
          <w:rFonts w:eastAsia="仿宋_GB2312"/>
          <w:sz w:val="32"/>
          <w:szCs w:val="32"/>
        </w:rPr>
      </w:pPr>
      <w:r>
        <w:rPr>
          <w:rFonts w:hint="eastAsia" w:eastAsia="仿宋_GB2312"/>
          <w:sz w:val="32"/>
          <w:szCs w:val="32"/>
        </w:rPr>
        <w:t>H．国家教育教学成果奖特等奖、一等奖的排名前三获得者，或国家教育教学成果奖二等奖排名前二获得者，或省教学成果奖二等奖及以上奖项的第一获得者。</w:t>
      </w:r>
    </w:p>
    <w:p>
      <w:pPr>
        <w:spacing w:line="560" w:lineRule="exact"/>
        <w:ind w:firstLine="640" w:firstLineChars="200"/>
        <w:rPr>
          <w:rFonts w:eastAsia="仿宋_GB2312"/>
          <w:sz w:val="32"/>
          <w:szCs w:val="32"/>
        </w:rPr>
      </w:pPr>
      <w:r>
        <w:rPr>
          <w:rFonts w:hint="eastAsia" w:eastAsia="仿宋_GB2312"/>
          <w:sz w:val="32"/>
          <w:szCs w:val="32"/>
        </w:rPr>
        <w:t>I．国家教学指导委员会委员及以上，或省级教学指导委员会主任委员。</w:t>
      </w:r>
    </w:p>
    <w:p>
      <w:pPr>
        <w:spacing w:line="560" w:lineRule="exact"/>
        <w:ind w:firstLine="640" w:firstLineChars="200"/>
        <w:rPr>
          <w:rFonts w:eastAsia="仿宋_GB2312"/>
          <w:sz w:val="32"/>
          <w:szCs w:val="32"/>
        </w:rPr>
      </w:pPr>
      <w:r>
        <w:rPr>
          <w:rFonts w:hint="eastAsia" w:eastAsia="仿宋_GB2312"/>
          <w:sz w:val="32"/>
          <w:szCs w:val="32"/>
        </w:rPr>
        <w:t>J．国家级教学改革项目负责人，或课程负责人，或虚拟仿真实验项目负责人，或规划教材负责人，或专业负责人，或实验教学示范中心负责人，或产教融合联盟或基地负责人，或撰写的教学案例入选教育部相关教指委资源库2篇以上，且近5年教学业绩考核成绩均为B以上且有2年为A者（校优秀教学质量奖获得者其教学业绩考核成绩视同为A）。</w:t>
      </w:r>
    </w:p>
    <w:p>
      <w:pPr>
        <w:spacing w:line="560" w:lineRule="exact"/>
        <w:ind w:firstLine="632" w:firstLineChars="200"/>
        <w:rPr>
          <w:rFonts w:eastAsia="仿宋_GB2312"/>
          <w:spacing w:val="-2"/>
          <w:sz w:val="32"/>
          <w:szCs w:val="32"/>
        </w:rPr>
      </w:pPr>
      <w:r>
        <w:rPr>
          <w:rFonts w:hint="eastAsia" w:eastAsia="仿宋_GB2312"/>
          <w:spacing w:val="-2"/>
          <w:sz w:val="32"/>
          <w:szCs w:val="32"/>
        </w:rPr>
        <w:t>K．纳入省教育厅本科教学业绩考核的学科竞赛中取得全国最高或次高等奖获得者的第一指导教师，或省优秀硕士学位论文的第一指导教师，且近5年教学业绩考核成绩均为B以上且有2年为A者（校优秀教学质量奖获得者其教学业绩考核成绩视同为A）。</w:t>
      </w:r>
    </w:p>
    <w:p>
      <w:pPr>
        <w:spacing w:line="560" w:lineRule="exact"/>
        <w:ind w:firstLine="640" w:firstLineChars="200"/>
        <w:rPr>
          <w:rFonts w:eastAsia="仿宋_GB2312"/>
          <w:sz w:val="32"/>
          <w:szCs w:val="32"/>
        </w:rPr>
      </w:pPr>
      <w:r>
        <w:rPr>
          <w:rFonts w:hint="eastAsia" w:eastAsia="仿宋_GB2312"/>
          <w:sz w:val="32"/>
          <w:szCs w:val="32"/>
        </w:rPr>
        <w:t>L．省劳动模范，或省功勋教师，或省“最美教师”，或省师德楷模，或省教书育人楷模等省级及以上荣誉获得者。</w:t>
      </w:r>
    </w:p>
    <w:p>
      <w:pPr>
        <w:spacing w:line="560" w:lineRule="exact"/>
        <w:ind w:firstLine="640" w:firstLineChars="200"/>
        <w:rPr>
          <w:rFonts w:eastAsia="仿宋_GB2312"/>
          <w:sz w:val="32"/>
          <w:szCs w:val="32"/>
        </w:rPr>
      </w:pPr>
      <w:r>
        <w:rPr>
          <w:rFonts w:hint="eastAsia" w:eastAsia="仿宋_GB2312"/>
          <w:sz w:val="32"/>
          <w:szCs w:val="32"/>
        </w:rPr>
        <w:t>M．在人才培养，科学研究，社会服务，文化传承，国际交流等综合评价中得到认定的省级及以上专家（具体参照《浙江省高层次人才分类目录（2020版）》C类及以上）。</w:t>
      </w:r>
    </w:p>
    <w:p>
      <w:pPr>
        <w:spacing w:line="560" w:lineRule="exact"/>
        <w:ind w:firstLine="640" w:firstLineChars="200"/>
        <w:rPr>
          <w:rFonts w:eastAsia="仿宋_GB2312"/>
          <w:color w:val="000000"/>
          <w:sz w:val="32"/>
        </w:rPr>
      </w:pPr>
      <w:r>
        <w:rPr>
          <w:rFonts w:eastAsia="仿宋_GB2312"/>
          <w:color w:val="000000"/>
          <w:sz w:val="32"/>
        </w:rPr>
        <w:t>2</w:t>
      </w:r>
      <w:r>
        <w:rPr>
          <w:rFonts w:hint="eastAsia" w:eastAsia="仿宋_GB2312"/>
          <w:color w:val="000000"/>
          <w:sz w:val="32"/>
        </w:rPr>
        <w:t>．四级岗位</w:t>
      </w:r>
    </w:p>
    <w:p>
      <w:pPr>
        <w:spacing w:line="560" w:lineRule="exact"/>
        <w:ind w:firstLine="640" w:firstLineChars="200"/>
        <w:rPr>
          <w:rFonts w:eastAsia="仿宋_GB2312"/>
          <w:color w:val="000000"/>
          <w:sz w:val="32"/>
        </w:rPr>
      </w:pPr>
      <w:r>
        <w:rPr>
          <w:rFonts w:hint="eastAsia" w:eastAsia="仿宋_GB2312"/>
          <w:color w:val="000000"/>
          <w:sz w:val="32"/>
        </w:rPr>
        <w:t>现聘任在四级及以上岗位或聘任正高级专业技术职务者，</w:t>
      </w:r>
      <w:r>
        <w:rPr>
          <w:rFonts w:hint="eastAsia" w:eastAsia="仿宋_GB2312"/>
          <w:sz w:val="32"/>
          <w:szCs w:val="32"/>
        </w:rPr>
        <w:t>第四轮聘期中专业技术四级岗位考核合格，可以</w:t>
      </w:r>
      <w:r>
        <w:rPr>
          <w:rFonts w:hint="eastAsia" w:eastAsia="仿宋_GB2312"/>
          <w:color w:val="000000"/>
          <w:sz w:val="32"/>
        </w:rPr>
        <w:t>申报四级岗位。</w:t>
      </w:r>
    </w:p>
    <w:p>
      <w:pPr>
        <w:spacing w:line="560" w:lineRule="exact"/>
        <w:ind w:firstLine="640" w:firstLineChars="200"/>
        <w:rPr>
          <w:rFonts w:eastAsia="仿宋_GB2312"/>
          <w:color w:val="000000"/>
          <w:sz w:val="32"/>
        </w:rPr>
      </w:pPr>
      <w:r>
        <w:rPr>
          <w:rFonts w:eastAsia="仿宋_GB2312"/>
          <w:color w:val="000000"/>
          <w:sz w:val="32"/>
        </w:rPr>
        <w:t>3</w:t>
      </w:r>
      <w:r>
        <w:rPr>
          <w:rFonts w:hint="eastAsia" w:eastAsia="仿宋_GB2312"/>
          <w:color w:val="000000"/>
          <w:sz w:val="32"/>
        </w:rPr>
        <w:t>．五级岗位</w:t>
      </w:r>
    </w:p>
    <w:p>
      <w:pPr>
        <w:spacing w:line="560" w:lineRule="exact"/>
        <w:ind w:firstLine="640" w:firstLineChars="200"/>
        <w:rPr>
          <w:rFonts w:eastAsia="仿宋_GB2312"/>
          <w:color w:val="000000"/>
          <w:sz w:val="32"/>
        </w:rPr>
      </w:pPr>
      <w:r>
        <w:rPr>
          <w:rFonts w:hint="eastAsia" w:eastAsia="仿宋_GB2312"/>
          <w:color w:val="000000"/>
          <w:sz w:val="32"/>
        </w:rPr>
        <w:t>现聘任在五级及以上岗位或在六级岗位聘任满</w:t>
      </w:r>
      <w:r>
        <w:rPr>
          <w:rFonts w:eastAsia="仿宋_GB2312"/>
          <w:color w:val="000000"/>
          <w:sz w:val="32"/>
        </w:rPr>
        <w:t>3</w:t>
      </w:r>
      <w:r>
        <w:rPr>
          <w:rFonts w:hint="eastAsia" w:eastAsia="仿宋_GB2312"/>
          <w:color w:val="000000"/>
          <w:sz w:val="32"/>
        </w:rPr>
        <w:t>年者，可申报五级岗位。</w:t>
      </w:r>
    </w:p>
    <w:p>
      <w:pPr>
        <w:spacing w:line="560" w:lineRule="exact"/>
        <w:ind w:firstLine="640" w:firstLineChars="200"/>
        <w:rPr>
          <w:rFonts w:eastAsia="仿宋_GB2312"/>
          <w:color w:val="000000"/>
          <w:sz w:val="32"/>
        </w:rPr>
      </w:pPr>
      <w:r>
        <w:rPr>
          <w:rFonts w:eastAsia="仿宋_GB2312"/>
          <w:color w:val="000000"/>
          <w:sz w:val="32"/>
        </w:rPr>
        <w:t>4</w:t>
      </w:r>
      <w:r>
        <w:rPr>
          <w:rFonts w:hint="eastAsia" w:eastAsia="仿宋_GB2312"/>
          <w:color w:val="000000"/>
          <w:sz w:val="32"/>
        </w:rPr>
        <w:t>．六级岗位</w:t>
      </w:r>
    </w:p>
    <w:p>
      <w:pPr>
        <w:spacing w:line="560" w:lineRule="exact"/>
        <w:ind w:firstLine="640" w:firstLineChars="200"/>
        <w:rPr>
          <w:rFonts w:eastAsia="仿宋_GB2312"/>
          <w:color w:val="000000"/>
          <w:sz w:val="32"/>
        </w:rPr>
      </w:pPr>
      <w:r>
        <w:rPr>
          <w:rFonts w:hint="eastAsia" w:eastAsia="仿宋_GB2312"/>
          <w:color w:val="000000"/>
          <w:sz w:val="32"/>
        </w:rPr>
        <w:t>现聘任在六级及以上岗位或在七级岗位聘任满</w:t>
      </w:r>
      <w:r>
        <w:rPr>
          <w:rFonts w:eastAsia="仿宋_GB2312"/>
          <w:color w:val="000000"/>
          <w:sz w:val="32"/>
        </w:rPr>
        <w:t>3</w:t>
      </w:r>
      <w:r>
        <w:rPr>
          <w:rFonts w:hint="eastAsia" w:eastAsia="仿宋_GB2312"/>
          <w:color w:val="000000"/>
          <w:sz w:val="32"/>
        </w:rPr>
        <w:t>年者，可申报六级岗位。</w:t>
      </w:r>
    </w:p>
    <w:p>
      <w:pPr>
        <w:spacing w:line="560" w:lineRule="exact"/>
        <w:ind w:firstLine="640" w:firstLineChars="200"/>
        <w:rPr>
          <w:rFonts w:eastAsia="仿宋_GB2312"/>
          <w:color w:val="000000"/>
          <w:sz w:val="32"/>
        </w:rPr>
      </w:pPr>
      <w:r>
        <w:rPr>
          <w:rFonts w:eastAsia="仿宋_GB2312"/>
          <w:color w:val="000000"/>
          <w:sz w:val="32"/>
        </w:rPr>
        <w:t>5</w:t>
      </w:r>
      <w:r>
        <w:rPr>
          <w:rFonts w:hint="eastAsia" w:eastAsia="仿宋_GB2312"/>
          <w:color w:val="000000"/>
          <w:sz w:val="32"/>
        </w:rPr>
        <w:t>．七级岗位</w:t>
      </w:r>
    </w:p>
    <w:p>
      <w:pPr>
        <w:spacing w:line="560" w:lineRule="exact"/>
        <w:ind w:firstLine="640" w:firstLineChars="200"/>
        <w:rPr>
          <w:rFonts w:eastAsia="仿宋_GB2312"/>
          <w:sz w:val="32"/>
        </w:rPr>
      </w:pPr>
      <w:r>
        <w:rPr>
          <w:rFonts w:hint="eastAsia" w:eastAsia="仿宋_GB2312"/>
          <w:sz w:val="32"/>
        </w:rPr>
        <w:t>现聘任在七级及以上岗位或聘任副高级专业技术职务者，</w:t>
      </w:r>
      <w:r>
        <w:rPr>
          <w:rFonts w:hint="eastAsia" w:eastAsia="仿宋_GB2312"/>
          <w:sz w:val="32"/>
          <w:szCs w:val="32"/>
        </w:rPr>
        <w:t>第四轮聘期中专业技术七级岗位考核合格，可以</w:t>
      </w:r>
      <w:r>
        <w:rPr>
          <w:rFonts w:hint="eastAsia" w:eastAsia="仿宋_GB2312"/>
          <w:sz w:val="32"/>
        </w:rPr>
        <w:t>申报七级岗位。</w:t>
      </w:r>
    </w:p>
    <w:p>
      <w:pPr>
        <w:spacing w:line="560" w:lineRule="exact"/>
        <w:ind w:firstLine="640" w:firstLineChars="200"/>
        <w:rPr>
          <w:rFonts w:eastAsia="仿宋_GB2312"/>
          <w:sz w:val="32"/>
        </w:rPr>
      </w:pPr>
      <w:r>
        <w:rPr>
          <w:rFonts w:eastAsia="仿宋_GB2312"/>
          <w:sz w:val="32"/>
        </w:rPr>
        <w:t>6</w:t>
      </w:r>
      <w:r>
        <w:rPr>
          <w:rFonts w:hint="eastAsia" w:eastAsia="仿宋_GB2312"/>
          <w:sz w:val="32"/>
        </w:rPr>
        <w:t>．八级岗位</w:t>
      </w:r>
    </w:p>
    <w:p>
      <w:pPr>
        <w:spacing w:line="560" w:lineRule="exact"/>
        <w:ind w:firstLine="640" w:firstLineChars="200"/>
        <w:rPr>
          <w:rFonts w:eastAsia="仿宋_GB2312"/>
          <w:sz w:val="32"/>
        </w:rPr>
      </w:pPr>
      <w:r>
        <w:rPr>
          <w:rFonts w:hint="eastAsia" w:eastAsia="仿宋_GB2312"/>
          <w:sz w:val="32"/>
        </w:rPr>
        <w:t>现聘任在八级及以上岗位或在九级岗位聘任满</w:t>
      </w:r>
      <w:r>
        <w:rPr>
          <w:rFonts w:eastAsia="仿宋_GB2312"/>
          <w:sz w:val="32"/>
        </w:rPr>
        <w:t>3</w:t>
      </w:r>
      <w:r>
        <w:rPr>
          <w:rFonts w:hint="eastAsia" w:eastAsia="仿宋_GB2312"/>
          <w:sz w:val="32"/>
        </w:rPr>
        <w:t>年者，可申报八级岗位。</w:t>
      </w:r>
    </w:p>
    <w:p>
      <w:pPr>
        <w:spacing w:line="560" w:lineRule="exact"/>
        <w:ind w:firstLine="640" w:firstLineChars="200"/>
        <w:rPr>
          <w:rFonts w:eastAsia="仿宋_GB2312"/>
          <w:sz w:val="32"/>
        </w:rPr>
      </w:pPr>
      <w:r>
        <w:rPr>
          <w:rFonts w:eastAsia="仿宋_GB2312"/>
          <w:sz w:val="32"/>
        </w:rPr>
        <w:t>7</w:t>
      </w:r>
      <w:r>
        <w:rPr>
          <w:rFonts w:hint="eastAsia" w:eastAsia="仿宋_GB2312"/>
          <w:sz w:val="32"/>
        </w:rPr>
        <w:t>．九级岗位</w:t>
      </w:r>
    </w:p>
    <w:p>
      <w:pPr>
        <w:spacing w:line="560" w:lineRule="exact"/>
        <w:ind w:firstLine="640" w:firstLineChars="200"/>
        <w:rPr>
          <w:rFonts w:eastAsia="仿宋_GB2312"/>
          <w:sz w:val="32"/>
        </w:rPr>
      </w:pPr>
      <w:r>
        <w:rPr>
          <w:rFonts w:hint="eastAsia" w:eastAsia="仿宋_GB2312"/>
          <w:sz w:val="32"/>
        </w:rPr>
        <w:t>现聘任在九级及以上岗位或在十级岗位聘任满</w:t>
      </w:r>
      <w:r>
        <w:rPr>
          <w:rFonts w:eastAsia="仿宋_GB2312"/>
          <w:sz w:val="32"/>
        </w:rPr>
        <w:t>3</w:t>
      </w:r>
      <w:r>
        <w:rPr>
          <w:rFonts w:hint="eastAsia" w:eastAsia="仿宋_GB2312"/>
          <w:sz w:val="32"/>
        </w:rPr>
        <w:t>年者，可申报九级岗位。</w:t>
      </w:r>
    </w:p>
    <w:p>
      <w:pPr>
        <w:spacing w:line="560" w:lineRule="exact"/>
        <w:ind w:firstLine="640" w:firstLineChars="200"/>
        <w:rPr>
          <w:rFonts w:eastAsia="仿宋_GB2312"/>
          <w:sz w:val="32"/>
        </w:rPr>
      </w:pPr>
      <w:r>
        <w:rPr>
          <w:rFonts w:eastAsia="仿宋_GB2312"/>
          <w:sz w:val="32"/>
        </w:rPr>
        <w:t>8</w:t>
      </w:r>
      <w:r>
        <w:rPr>
          <w:rFonts w:hint="eastAsia" w:eastAsia="仿宋_GB2312"/>
          <w:sz w:val="32"/>
        </w:rPr>
        <w:t>．十级岗位</w:t>
      </w:r>
    </w:p>
    <w:p>
      <w:pPr>
        <w:spacing w:line="560" w:lineRule="exact"/>
        <w:ind w:firstLine="640" w:firstLineChars="200"/>
        <w:rPr>
          <w:rFonts w:eastAsia="仿宋_GB2312"/>
          <w:sz w:val="32"/>
        </w:rPr>
      </w:pPr>
      <w:r>
        <w:rPr>
          <w:rFonts w:hint="eastAsia" w:eastAsia="仿宋_GB2312"/>
          <w:sz w:val="32"/>
        </w:rPr>
        <w:t>现聘任在十级及以上岗位或聘任中级专业技术职务者，可申报十级岗位。</w:t>
      </w:r>
    </w:p>
    <w:p>
      <w:pPr>
        <w:spacing w:line="560" w:lineRule="exact"/>
        <w:ind w:firstLine="640" w:firstLineChars="200"/>
        <w:rPr>
          <w:rFonts w:eastAsia="仿宋_GB2312"/>
          <w:sz w:val="32"/>
        </w:rPr>
      </w:pPr>
      <w:r>
        <w:rPr>
          <w:rFonts w:eastAsia="仿宋_GB2312"/>
          <w:sz w:val="32"/>
        </w:rPr>
        <w:t>9</w:t>
      </w:r>
      <w:r>
        <w:rPr>
          <w:rFonts w:hint="eastAsia" w:eastAsia="仿宋_GB2312"/>
          <w:sz w:val="32"/>
        </w:rPr>
        <w:t>．十一级岗位</w:t>
      </w:r>
    </w:p>
    <w:p>
      <w:pPr>
        <w:spacing w:line="560" w:lineRule="exact"/>
        <w:ind w:firstLine="640" w:firstLineChars="200"/>
        <w:rPr>
          <w:rFonts w:eastAsia="仿宋_GB2312"/>
          <w:sz w:val="32"/>
        </w:rPr>
      </w:pPr>
      <w:r>
        <w:rPr>
          <w:rFonts w:hint="eastAsia" w:eastAsia="仿宋_GB2312"/>
          <w:sz w:val="32"/>
        </w:rPr>
        <w:t>现聘任在十一级及以上岗位或在十二级岗位聘任满</w:t>
      </w:r>
      <w:r>
        <w:rPr>
          <w:rFonts w:eastAsia="仿宋_GB2312"/>
          <w:sz w:val="32"/>
        </w:rPr>
        <w:t>3</w:t>
      </w:r>
      <w:r>
        <w:rPr>
          <w:rFonts w:hint="eastAsia" w:eastAsia="仿宋_GB2312"/>
          <w:sz w:val="32"/>
        </w:rPr>
        <w:t>年者，可申报十一级岗位。</w:t>
      </w:r>
    </w:p>
    <w:p>
      <w:pPr>
        <w:spacing w:line="560" w:lineRule="exact"/>
        <w:ind w:firstLine="640" w:firstLineChars="200"/>
        <w:rPr>
          <w:rFonts w:eastAsia="仿宋_GB2312"/>
          <w:sz w:val="32"/>
        </w:rPr>
      </w:pPr>
      <w:r>
        <w:rPr>
          <w:rFonts w:eastAsia="仿宋_GB2312"/>
          <w:sz w:val="32"/>
        </w:rPr>
        <w:t>10</w:t>
      </w:r>
      <w:r>
        <w:rPr>
          <w:rFonts w:hint="eastAsia" w:eastAsia="仿宋_GB2312"/>
          <w:sz w:val="32"/>
        </w:rPr>
        <w:t>．十二级岗位</w:t>
      </w:r>
    </w:p>
    <w:p>
      <w:pPr>
        <w:spacing w:line="560" w:lineRule="exact"/>
        <w:ind w:firstLine="640" w:firstLineChars="200"/>
        <w:rPr>
          <w:rFonts w:eastAsia="仿宋_GB2312"/>
          <w:sz w:val="32"/>
        </w:rPr>
      </w:pPr>
      <w:r>
        <w:rPr>
          <w:rFonts w:hint="eastAsia" w:eastAsia="仿宋_GB2312"/>
          <w:sz w:val="32"/>
        </w:rPr>
        <w:t>现聘任在十二级及以上岗位或聘任助理级专业技术职务者，可申报十二级岗位。</w:t>
      </w:r>
    </w:p>
    <w:p>
      <w:pPr>
        <w:spacing w:line="560" w:lineRule="exact"/>
        <w:ind w:firstLine="640" w:firstLineChars="200"/>
        <w:rPr>
          <w:rFonts w:eastAsia="黑体"/>
          <w:sz w:val="32"/>
        </w:rPr>
      </w:pPr>
      <w:r>
        <w:rPr>
          <w:rFonts w:hint="eastAsia" w:eastAsia="黑体"/>
          <w:sz w:val="32"/>
        </w:rPr>
        <w:t>三、其他</w:t>
      </w:r>
    </w:p>
    <w:p>
      <w:pPr>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sz w:val="32"/>
          <w:szCs w:val="32"/>
        </w:rPr>
        <w:t>1．第四轮聘期考核结果作为本轮岗位聘任的重要依据：</w:t>
      </w:r>
      <w:r>
        <w:rPr>
          <w:rFonts w:hint="eastAsia" w:eastAsia="仿宋_GB2312"/>
          <w:color w:val="000000"/>
          <w:sz w:val="32"/>
        </w:rPr>
        <w:t>工作业绩特别突出的，允许越级竞聘；聘期考核为合格的，同等条件下，优先竞聘原岗位；聘期考核为不合格的，低聘或转聘到其他岗位。</w:t>
      </w:r>
    </w:p>
    <w:p>
      <w:pPr>
        <w:spacing w:line="560" w:lineRule="exact"/>
        <w:ind w:firstLine="640" w:firstLineChars="200"/>
        <w:rPr>
          <w:rFonts w:eastAsia="仿宋_GB2312"/>
          <w:sz w:val="32"/>
          <w:highlight w:val="yellow"/>
        </w:rPr>
      </w:pPr>
      <w:r>
        <w:rPr>
          <w:rFonts w:hint="eastAsia" w:eastAsia="仿宋_GB2312"/>
          <w:sz w:val="32"/>
        </w:rPr>
        <w:t>2．由管理岗位转至其他专业技术岗位曾聘任专业技术职务或保留专业技术工资待遇者、专业技术岗位之间内调者以及由外单位调入本单位专业技术岗位者，其专业技术职务系列同所聘岗位不相符的，本轮岗聘可聘任到相应专业技术职务等级的最低级岗位，聘期内职称未转评者，下一聘期降低一个等级聘任；专业技术职务系列同所聘岗位相符的，本轮岗聘同一专业技术职务等级前后任职时间可累加计算。</w:t>
      </w:r>
    </w:p>
    <w:p>
      <w:pPr>
        <w:spacing w:line="560" w:lineRule="exact"/>
        <w:ind w:firstLine="640" w:firstLineChars="200"/>
        <w:rPr>
          <w:rFonts w:eastAsia="仿宋_GB2312"/>
          <w:sz w:val="32"/>
        </w:rPr>
      </w:pPr>
      <w:r>
        <w:rPr>
          <w:rFonts w:hint="eastAsia" w:eastAsia="仿宋_GB2312"/>
          <w:sz w:val="32"/>
        </w:rPr>
        <w:t>3．博士后出站者，可聘任专业技术八级岗位；具有博士学位的毕业生可聘任专业技术十级岗位；具有硕士学位的毕业生可聘任专业技术十二级岗位。</w:t>
      </w:r>
    </w:p>
    <w:p/>
    <w:sectPr>
      <w:footerReference r:id="rId3" w:type="default"/>
      <w:footerReference r:id="rId4" w:type="even"/>
      <w:pgSz w:w="11906" w:h="16838"/>
      <w:pgMar w:top="1440" w:right="1800" w:bottom="1440" w:left="1800" w:header="851" w:footer="1531" w:gutter="0"/>
      <w:pgNumType w:start="2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1318023"/>
    </w:sdtPr>
    <w:sdtEndPr>
      <w:rPr>
        <w:sz w:val="28"/>
        <w:szCs w:val="28"/>
      </w:rPr>
    </w:sdtEndPr>
    <w:sdtContent>
      <w:p>
        <w:pPr>
          <w:pStyle w:val="3"/>
          <w:jc w:val="right"/>
          <w:rPr>
            <w:sz w:val="28"/>
            <w:szCs w:val="28"/>
          </w:rPr>
        </w:pPr>
        <w:r>
          <w:rPr>
            <w:rFonts w:hint="eastAsia"/>
            <w:sz w:val="28"/>
            <w:szCs w:val="28"/>
          </w:rPr>
          <w:t>—</w:t>
        </w: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33</w:t>
        </w:r>
        <w:r>
          <w:rPr>
            <w:sz w:val="28"/>
            <w:szCs w:val="28"/>
          </w:rPr>
          <w:fldChar w:fldCharType="end"/>
        </w:r>
        <w:r>
          <w:rPr>
            <w:rFonts w:hint="eastAsia"/>
            <w:sz w:val="28"/>
            <w:szCs w:val="28"/>
          </w:rPr>
          <w:t xml:space="preserve"> —</w:t>
        </w:r>
      </w:p>
    </w:sdtContent>
  </w:sdt>
  <w:p>
    <w:pPr>
      <w:pStyle w:val="3"/>
      <w:jc w:val="right"/>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4061808"/>
    </w:sdtPr>
    <w:sdtEndPr>
      <w:rPr>
        <w:sz w:val="28"/>
        <w:szCs w:val="28"/>
      </w:rPr>
    </w:sdtEndPr>
    <w:sdtContent>
      <w:p>
        <w:pPr>
          <w:pStyle w:val="3"/>
          <w:rPr>
            <w:sz w:val="28"/>
            <w:szCs w:val="28"/>
          </w:rPr>
        </w:pPr>
        <w:r>
          <w:rPr>
            <w:rFonts w:hint="eastAsia"/>
            <w:sz w:val="28"/>
            <w:szCs w:val="28"/>
          </w:rPr>
          <w:t>—</w:t>
        </w: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34</w:t>
        </w:r>
        <w:r>
          <w:rPr>
            <w:sz w:val="28"/>
            <w:szCs w:val="28"/>
          </w:rPr>
          <w:fldChar w:fldCharType="end"/>
        </w:r>
        <w:r>
          <w:rPr>
            <w:rFonts w:hint="eastAsia"/>
            <w:sz w:val="28"/>
            <w:szCs w:val="28"/>
          </w:rPr>
          <w:t xml:space="preserve"> —</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E2ZGQ5ZjM5MTgyNjFjNWU2YzlmYTE3MGJhMGQifQ=="/>
  </w:docVars>
  <w:rsids>
    <w:rsidRoot w:val="007224F0"/>
    <w:rsid w:val="000E57DF"/>
    <w:rsid w:val="00127897"/>
    <w:rsid w:val="001555F9"/>
    <w:rsid w:val="00162501"/>
    <w:rsid w:val="001E6A7F"/>
    <w:rsid w:val="00230543"/>
    <w:rsid w:val="002B4BC8"/>
    <w:rsid w:val="002F5052"/>
    <w:rsid w:val="00315109"/>
    <w:rsid w:val="00336CD9"/>
    <w:rsid w:val="0039251F"/>
    <w:rsid w:val="003E3E05"/>
    <w:rsid w:val="003F14A0"/>
    <w:rsid w:val="003F5E69"/>
    <w:rsid w:val="00425FCC"/>
    <w:rsid w:val="0047409A"/>
    <w:rsid w:val="00481F7E"/>
    <w:rsid w:val="004938C8"/>
    <w:rsid w:val="004B60BC"/>
    <w:rsid w:val="004C0BB2"/>
    <w:rsid w:val="00507ED9"/>
    <w:rsid w:val="005B220B"/>
    <w:rsid w:val="00695864"/>
    <w:rsid w:val="007224F0"/>
    <w:rsid w:val="00770D60"/>
    <w:rsid w:val="007828C5"/>
    <w:rsid w:val="007E10AA"/>
    <w:rsid w:val="008120CD"/>
    <w:rsid w:val="00851781"/>
    <w:rsid w:val="00932D8C"/>
    <w:rsid w:val="00945617"/>
    <w:rsid w:val="0098585B"/>
    <w:rsid w:val="00B874FD"/>
    <w:rsid w:val="00BB4CC5"/>
    <w:rsid w:val="00BB75F8"/>
    <w:rsid w:val="00BB7834"/>
    <w:rsid w:val="00BC2C65"/>
    <w:rsid w:val="00BE02A1"/>
    <w:rsid w:val="00C219C2"/>
    <w:rsid w:val="00C448A3"/>
    <w:rsid w:val="00CD0E95"/>
    <w:rsid w:val="00D0303C"/>
    <w:rsid w:val="00D5378B"/>
    <w:rsid w:val="00DD336B"/>
    <w:rsid w:val="00E65E26"/>
    <w:rsid w:val="00E9285E"/>
    <w:rsid w:val="00EB32AE"/>
    <w:rsid w:val="00F4037D"/>
    <w:rsid w:val="00F956DD"/>
    <w:rsid w:val="1A5E5E6D"/>
    <w:rsid w:val="1C004E12"/>
    <w:rsid w:val="34D85D35"/>
    <w:rsid w:val="382D69A5"/>
    <w:rsid w:val="55EC57C8"/>
    <w:rsid w:val="64D25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lang w:val="zh-CN"/>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lang w:val="zh-CN"/>
    </w:rPr>
  </w:style>
  <w:style w:type="character" w:customStyle="1" w:styleId="7">
    <w:name w:val="页眉 字符"/>
    <w:link w:val="4"/>
    <w:qFormat/>
    <w:uiPriority w:val="0"/>
    <w:rPr>
      <w:rFonts w:ascii="Times New Roman" w:hAnsi="Times New Roman"/>
      <w:kern w:val="2"/>
      <w:sz w:val="18"/>
      <w:szCs w:val="18"/>
    </w:rPr>
  </w:style>
  <w:style w:type="character" w:customStyle="1" w:styleId="8">
    <w:name w:val="页脚 字符"/>
    <w:link w:val="3"/>
    <w:qFormat/>
    <w:uiPriority w:val="99"/>
    <w:rPr>
      <w:rFonts w:ascii="Times New Roman" w:hAnsi="Times New Roman"/>
      <w:kern w:val="2"/>
      <w:sz w:val="18"/>
      <w:szCs w:val="18"/>
    </w:rPr>
  </w:style>
  <w:style w:type="character" w:customStyle="1" w:styleId="9">
    <w:name w:val="批注框文本 字符"/>
    <w:link w:val="2"/>
    <w:qFormat/>
    <w:uiPriority w:val="0"/>
    <w:rPr>
      <w:rFonts w:ascii="Times New Roman" w:hAnsi="Times New Roman"/>
      <w:kern w:val="2"/>
      <w:sz w:val="18"/>
      <w:szCs w:val="18"/>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478</Words>
  <Characters>2727</Characters>
  <Lines>22</Lines>
  <Paragraphs>6</Paragraphs>
  <TotalTime>9</TotalTime>
  <ScaleCrop>false</ScaleCrop>
  <LinksUpToDate>false</LinksUpToDate>
  <CharactersWithSpaces>3199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2020-11-24T06:56:00Z</dcterms:created>
  <dc:creator>陈超群</dc:creator>
  <cp:lastModifiedBy>肖光华</cp:lastModifiedBy>
  <dcterms:modified xsi:type="dcterms:W3CDTF">2023-12-01T01:54:06Z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EC30E1CBC1FC4844A5D10571040EBC87</vt:lpwstr>
  </property>
</Properties>
</file>