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仿宋_GB2312"/>
          <w:b/>
          <w:sz w:val="32"/>
          <w:szCs w:val="32"/>
        </w:rPr>
      </w:pPr>
      <w:bookmarkStart w:id="0" w:name="_GoBack"/>
      <w:bookmarkEnd w:id="0"/>
      <w:r>
        <w:rPr>
          <w:rFonts w:eastAsia="仿宋_GB2312"/>
          <w:b/>
          <w:sz w:val="32"/>
          <w:szCs w:val="32"/>
        </w:rPr>
        <w:t>团队赛评分细则</w:t>
      </w:r>
    </w:p>
    <w:p>
      <w:pPr>
        <w:spacing w:line="360" w:lineRule="auto"/>
        <w:jc w:val="center"/>
        <w:rPr>
          <w:rFonts w:eastAsia="仿宋_GB2312"/>
          <w:b/>
          <w:sz w:val="32"/>
          <w:szCs w:val="32"/>
        </w:rPr>
      </w:pPr>
    </w:p>
    <w:p>
      <w:pPr>
        <w:numPr>
          <w:ilvl w:val="0"/>
          <w:numId w:val="1"/>
        </w:numPr>
        <w:spacing w:line="360" w:lineRule="auto"/>
        <w:ind w:left="1" w:firstLine="569" w:firstLineChars="236"/>
        <w:rPr>
          <w:rFonts w:eastAsia="仿宋_GB2312"/>
          <w:b/>
          <w:kern w:val="0"/>
          <w:sz w:val="24"/>
        </w:rPr>
      </w:pPr>
      <w:r>
        <w:rPr>
          <w:rFonts w:eastAsia="仿宋_GB2312"/>
          <w:b/>
          <w:kern w:val="0"/>
          <w:sz w:val="24"/>
        </w:rPr>
        <w:t>投资策略组账号实测成绩得分</w:t>
      </w:r>
    </w:p>
    <w:tbl>
      <w:tblPr>
        <w:tblStyle w:val="7"/>
        <w:tblW w:w="87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76"/>
        <w:gridCol w:w="1260"/>
        <w:gridCol w:w="721"/>
        <w:gridCol w:w="54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1376"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指标类别</w:t>
            </w:r>
          </w:p>
        </w:tc>
        <w:tc>
          <w:tcPr>
            <w:tcW w:w="1260"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指标</w:t>
            </w:r>
          </w:p>
        </w:tc>
        <w:tc>
          <w:tcPr>
            <w:tcW w:w="721"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权重</w:t>
            </w:r>
          </w:p>
        </w:tc>
        <w:tc>
          <w:tcPr>
            <w:tcW w:w="5432"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计算公式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jc w:val="center"/>
        </w:trPr>
        <w:tc>
          <w:tcPr>
            <w:tcW w:w="1376" w:type="dxa"/>
            <w:shd w:val="clear" w:color="auto" w:fill="auto"/>
            <w:vAlign w:val="center"/>
          </w:tcPr>
          <w:p>
            <w:pPr>
              <w:widowControl/>
              <w:spacing w:line="360" w:lineRule="auto"/>
              <w:jc w:val="center"/>
              <w:rPr>
                <w:rFonts w:eastAsia="仿宋_GB2312"/>
                <w:bCs/>
                <w:kern w:val="0"/>
                <w:sz w:val="24"/>
              </w:rPr>
            </w:pPr>
            <w:r>
              <w:rPr>
                <w:rFonts w:eastAsia="仿宋_GB2312"/>
                <w:bCs/>
                <w:kern w:val="0"/>
                <w:sz w:val="24"/>
              </w:rPr>
              <w:t>业绩指标</w:t>
            </w:r>
            <w:r>
              <w:rPr>
                <w:rFonts w:hint="eastAsia" w:eastAsia="仿宋_GB2312"/>
                <w:bCs/>
                <w:kern w:val="0"/>
                <w:sz w:val="24"/>
              </w:rPr>
              <w:t>7</w:t>
            </w:r>
            <w:r>
              <w:rPr>
                <w:rFonts w:eastAsia="仿宋_GB2312"/>
                <w:bCs/>
                <w:kern w:val="0"/>
                <w:sz w:val="24"/>
              </w:rPr>
              <w:t>0分</w:t>
            </w:r>
          </w:p>
        </w:tc>
        <w:tc>
          <w:tcPr>
            <w:tcW w:w="1260" w:type="dxa"/>
            <w:shd w:val="clear" w:color="auto" w:fill="auto"/>
            <w:vAlign w:val="center"/>
          </w:tcPr>
          <w:p>
            <w:pPr>
              <w:widowControl/>
              <w:spacing w:line="360" w:lineRule="auto"/>
              <w:jc w:val="center"/>
              <w:rPr>
                <w:rFonts w:eastAsia="仿宋_GB2312"/>
                <w:kern w:val="0"/>
                <w:sz w:val="24"/>
              </w:rPr>
            </w:pPr>
            <w:r>
              <w:rPr>
                <w:rFonts w:eastAsia="仿宋_GB2312"/>
                <w:kern w:val="0"/>
                <w:sz w:val="24"/>
              </w:rPr>
              <w:t>年化收益率(%)</w:t>
            </w:r>
          </w:p>
        </w:tc>
        <w:tc>
          <w:tcPr>
            <w:tcW w:w="721" w:type="dxa"/>
            <w:shd w:val="clear" w:color="auto" w:fill="auto"/>
            <w:noWrap/>
            <w:vAlign w:val="center"/>
          </w:tcPr>
          <w:p>
            <w:pPr>
              <w:widowControl/>
              <w:spacing w:line="360" w:lineRule="auto"/>
              <w:jc w:val="center"/>
              <w:rPr>
                <w:rFonts w:eastAsia="仿宋_GB2312"/>
                <w:kern w:val="0"/>
                <w:sz w:val="24"/>
              </w:rPr>
            </w:pPr>
            <w:r>
              <w:rPr>
                <w:rFonts w:hint="eastAsia" w:eastAsia="仿宋_GB2312"/>
                <w:kern w:val="0"/>
                <w:sz w:val="24"/>
              </w:rPr>
              <w:t>70</w:t>
            </w:r>
            <w:r>
              <w:rPr>
                <w:rFonts w:eastAsia="仿宋_GB2312"/>
                <w:kern w:val="0"/>
                <w:sz w:val="24"/>
              </w:rPr>
              <w:t>%</w:t>
            </w:r>
          </w:p>
        </w:tc>
        <w:tc>
          <w:tcPr>
            <w:tcW w:w="5432" w:type="dxa"/>
            <w:shd w:val="clear" w:color="auto" w:fill="auto"/>
            <w:vAlign w:val="center"/>
          </w:tcPr>
          <w:p>
            <w:pPr>
              <w:widowControl/>
              <w:spacing w:line="360" w:lineRule="auto"/>
              <w:jc w:val="left"/>
              <w:rPr>
                <w:rFonts w:eastAsia="仿宋_GB2312"/>
                <w:kern w:val="0"/>
                <w:sz w:val="24"/>
              </w:rPr>
            </w:pPr>
            <w:r>
              <w:rPr>
                <w:rFonts w:eastAsia="仿宋_GB2312"/>
                <w:kern w:val="0"/>
                <w:sz w:val="24"/>
              </w:rPr>
              <w:t>t日年化收益率=365*[p(t)-p(1)]/[p(1)*t]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jc w:val="center"/>
        </w:trPr>
        <w:tc>
          <w:tcPr>
            <w:tcW w:w="1376" w:type="dxa"/>
            <w:shd w:val="clear" w:color="auto" w:fill="auto"/>
            <w:vAlign w:val="center"/>
          </w:tcPr>
          <w:p>
            <w:pPr>
              <w:widowControl/>
              <w:spacing w:line="360" w:lineRule="auto"/>
              <w:jc w:val="center"/>
              <w:rPr>
                <w:rFonts w:eastAsia="仿宋_GB2312"/>
                <w:bCs/>
                <w:kern w:val="0"/>
                <w:sz w:val="24"/>
              </w:rPr>
            </w:pPr>
            <w:r>
              <w:rPr>
                <w:rFonts w:eastAsia="仿宋_GB2312"/>
                <w:bCs/>
                <w:kern w:val="0"/>
                <w:sz w:val="24"/>
              </w:rPr>
              <w:t>风险指标</w:t>
            </w:r>
            <w:r>
              <w:rPr>
                <w:rFonts w:hint="eastAsia" w:eastAsia="仿宋_GB2312"/>
                <w:bCs/>
                <w:kern w:val="0"/>
                <w:sz w:val="24"/>
              </w:rPr>
              <w:t>15</w:t>
            </w:r>
            <w:r>
              <w:rPr>
                <w:rFonts w:eastAsia="仿宋_GB2312"/>
                <w:bCs/>
                <w:kern w:val="0"/>
                <w:sz w:val="24"/>
              </w:rPr>
              <w:t>分</w:t>
            </w:r>
          </w:p>
        </w:tc>
        <w:tc>
          <w:tcPr>
            <w:tcW w:w="1260" w:type="dxa"/>
            <w:shd w:val="clear" w:color="auto" w:fill="auto"/>
            <w:vAlign w:val="center"/>
          </w:tcPr>
          <w:p>
            <w:pPr>
              <w:widowControl/>
              <w:spacing w:line="360" w:lineRule="auto"/>
              <w:jc w:val="center"/>
              <w:rPr>
                <w:rFonts w:eastAsia="仿宋_GB2312"/>
                <w:kern w:val="0"/>
                <w:sz w:val="24"/>
              </w:rPr>
            </w:pPr>
            <w:r>
              <w:rPr>
                <w:rFonts w:eastAsia="仿宋_GB2312"/>
                <w:kern w:val="0"/>
                <w:sz w:val="24"/>
              </w:rPr>
              <w:t>最大回撤(%)</w:t>
            </w:r>
          </w:p>
        </w:tc>
        <w:tc>
          <w:tcPr>
            <w:tcW w:w="721"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1</w:t>
            </w:r>
            <w:r>
              <w:rPr>
                <w:rFonts w:hint="eastAsia" w:eastAsia="仿宋_GB2312"/>
                <w:kern w:val="0"/>
                <w:sz w:val="24"/>
              </w:rPr>
              <w:t>5</w:t>
            </w:r>
            <w:r>
              <w:rPr>
                <w:rFonts w:eastAsia="仿宋_GB2312"/>
                <w:kern w:val="0"/>
                <w:sz w:val="24"/>
              </w:rPr>
              <w:t>%</w:t>
            </w:r>
          </w:p>
        </w:tc>
        <w:tc>
          <w:tcPr>
            <w:tcW w:w="5432" w:type="dxa"/>
            <w:shd w:val="clear" w:color="auto" w:fill="auto"/>
            <w:vAlign w:val="center"/>
          </w:tcPr>
          <w:p>
            <w:pPr>
              <w:widowControl/>
              <w:spacing w:line="360" w:lineRule="auto"/>
              <w:jc w:val="left"/>
              <w:rPr>
                <w:rFonts w:eastAsia="仿宋_GB2312"/>
                <w:kern w:val="0"/>
                <w:sz w:val="24"/>
              </w:rPr>
            </w:pPr>
            <w:r>
              <w:rPr>
                <w:rFonts w:eastAsia="仿宋_GB2312"/>
                <w:kern w:val="0"/>
                <w:sz w:val="24"/>
              </w:rPr>
              <w:t>至t日最大回撤=min[p(t1+n)-p(t1)]/p(t1)；t1=1,2,3...t-1；n=1,2,3...t-t1；如果计算结果&gt;0，则为n/a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 w:hRule="atLeast"/>
          <w:jc w:val="center"/>
        </w:trPr>
        <w:tc>
          <w:tcPr>
            <w:tcW w:w="1376" w:type="dxa"/>
            <w:shd w:val="clear" w:color="auto" w:fill="auto"/>
            <w:vAlign w:val="center"/>
          </w:tcPr>
          <w:p>
            <w:pPr>
              <w:widowControl/>
              <w:spacing w:line="360" w:lineRule="auto"/>
              <w:jc w:val="center"/>
              <w:rPr>
                <w:rFonts w:eastAsia="仿宋_GB2312"/>
                <w:bCs/>
                <w:kern w:val="0"/>
                <w:sz w:val="24"/>
              </w:rPr>
            </w:pPr>
            <w:r>
              <w:rPr>
                <w:rFonts w:eastAsia="仿宋_GB2312"/>
                <w:bCs/>
                <w:kern w:val="0"/>
                <w:sz w:val="24"/>
              </w:rPr>
              <w:t>风险收益指标</w:t>
            </w:r>
          </w:p>
          <w:p>
            <w:pPr>
              <w:widowControl/>
              <w:spacing w:line="360" w:lineRule="auto"/>
              <w:jc w:val="center"/>
              <w:rPr>
                <w:rFonts w:eastAsia="仿宋_GB2312"/>
                <w:bCs/>
                <w:kern w:val="0"/>
                <w:sz w:val="24"/>
              </w:rPr>
            </w:pPr>
            <w:r>
              <w:rPr>
                <w:rFonts w:hint="eastAsia" w:eastAsia="仿宋_GB2312"/>
                <w:bCs/>
                <w:kern w:val="0"/>
                <w:sz w:val="24"/>
              </w:rPr>
              <w:t>15</w:t>
            </w:r>
            <w:r>
              <w:rPr>
                <w:rFonts w:eastAsia="仿宋_GB2312"/>
                <w:bCs/>
                <w:kern w:val="0"/>
                <w:sz w:val="24"/>
              </w:rPr>
              <w:t>分</w:t>
            </w:r>
          </w:p>
        </w:tc>
        <w:tc>
          <w:tcPr>
            <w:tcW w:w="1260" w:type="dxa"/>
            <w:shd w:val="clear" w:color="auto" w:fill="auto"/>
            <w:vAlign w:val="center"/>
          </w:tcPr>
          <w:p>
            <w:pPr>
              <w:widowControl/>
              <w:spacing w:line="360" w:lineRule="auto"/>
              <w:jc w:val="center"/>
              <w:rPr>
                <w:rFonts w:eastAsia="仿宋_GB2312"/>
                <w:kern w:val="0"/>
                <w:sz w:val="24"/>
              </w:rPr>
            </w:pPr>
            <w:r>
              <w:rPr>
                <w:rFonts w:eastAsia="仿宋_GB2312"/>
                <w:kern w:val="0"/>
                <w:sz w:val="24"/>
              </w:rPr>
              <w:t>Sharpe Ratio</w:t>
            </w:r>
          </w:p>
        </w:tc>
        <w:tc>
          <w:tcPr>
            <w:tcW w:w="721" w:type="dxa"/>
            <w:shd w:val="clear" w:color="auto" w:fill="auto"/>
            <w:noWrap/>
            <w:vAlign w:val="center"/>
          </w:tcPr>
          <w:p>
            <w:pPr>
              <w:widowControl/>
              <w:spacing w:line="360" w:lineRule="auto"/>
              <w:jc w:val="center"/>
              <w:rPr>
                <w:rFonts w:eastAsia="仿宋_GB2312"/>
                <w:kern w:val="0"/>
                <w:sz w:val="24"/>
              </w:rPr>
            </w:pPr>
            <w:r>
              <w:rPr>
                <w:rFonts w:hint="eastAsia" w:eastAsia="仿宋_GB2312"/>
                <w:kern w:val="0"/>
                <w:sz w:val="24"/>
              </w:rPr>
              <w:t>15</w:t>
            </w:r>
            <w:r>
              <w:rPr>
                <w:rFonts w:eastAsia="仿宋_GB2312"/>
                <w:kern w:val="0"/>
                <w:sz w:val="24"/>
              </w:rPr>
              <w:t>%</w:t>
            </w:r>
          </w:p>
        </w:tc>
        <w:tc>
          <w:tcPr>
            <w:tcW w:w="5432" w:type="dxa"/>
            <w:shd w:val="clear" w:color="auto" w:fill="auto"/>
            <w:vAlign w:val="center"/>
          </w:tcPr>
          <w:p>
            <w:pPr>
              <w:widowControl/>
              <w:spacing w:line="360" w:lineRule="auto"/>
              <w:jc w:val="left"/>
              <w:rPr>
                <w:rFonts w:eastAsia="仿宋_GB2312"/>
                <w:kern w:val="0"/>
                <w:sz w:val="24"/>
              </w:rPr>
            </w:pPr>
            <w:r>
              <w:rPr>
                <w:rFonts w:eastAsia="仿宋_GB2312"/>
                <w:kern w:val="0"/>
                <w:sz w:val="24"/>
              </w:rPr>
              <w:t>t日Sharpe Ratio={365*[p(t)-p(1)]/[p(1)*t]}/h；h=std{365*[p(t1+1)-p(t1)]/[p(1)*t1]},t1=1,2,3…t-1；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8789" w:type="dxa"/>
            <w:gridSpan w:val="4"/>
            <w:shd w:val="clear" w:color="auto" w:fill="auto"/>
            <w:vAlign w:val="center"/>
          </w:tcPr>
          <w:p>
            <w:pPr>
              <w:widowControl/>
              <w:spacing w:line="360" w:lineRule="auto"/>
              <w:jc w:val="center"/>
              <w:rPr>
                <w:rFonts w:eastAsia="仿宋_GB2312"/>
                <w:kern w:val="0"/>
                <w:sz w:val="24"/>
              </w:rPr>
            </w:pPr>
            <w:r>
              <w:rPr>
                <w:rFonts w:eastAsia="仿宋_GB2312"/>
                <w:bCs/>
                <w:kern w:val="0"/>
                <w:sz w:val="24"/>
              </w:rPr>
              <w:t>总分100分</w:t>
            </w:r>
          </w:p>
        </w:tc>
      </w:tr>
    </w:tbl>
    <w:p>
      <w:pPr>
        <w:snapToGrid w:val="0"/>
        <w:spacing w:line="360" w:lineRule="auto"/>
        <w:ind w:firstLine="260" w:firstLineChars="200"/>
        <w:jc w:val="left"/>
        <w:rPr>
          <w:rFonts w:eastAsia="仿宋_GB2312"/>
          <w:kern w:val="0"/>
          <w:sz w:val="13"/>
          <w:szCs w:val="13"/>
        </w:rPr>
      </w:pPr>
    </w:p>
    <w:p>
      <w:pPr>
        <w:snapToGrid w:val="0"/>
        <w:spacing w:line="360" w:lineRule="auto"/>
        <w:ind w:firstLine="480" w:firstLineChars="200"/>
        <w:rPr>
          <w:rFonts w:eastAsia="仿宋_GB2312"/>
          <w:kern w:val="0"/>
          <w:sz w:val="24"/>
        </w:rPr>
      </w:pPr>
      <w:r>
        <w:rPr>
          <w:rFonts w:eastAsia="仿宋_GB2312"/>
          <w:kern w:val="0"/>
          <w:sz w:val="24"/>
        </w:rPr>
        <w:t>已知数据：每日总资产p，第一日总资产即p(1),第二日即p(2)，第t日即p(t)，该日期是自然日。针对每个考察指标，对所有参赛者策略根据相应指标属性进行排序。在排序序列中，两端5%的得分指标分别计满分和零分，其余得分计算如下：排序序列中间的90%中，考察指标的最大值=Max，考察指标的最小值=Min，考察的参赛者策略的指标值为X，相应该考察指标的满分为W，则风险与收益的相应得分计算公式为：</w:t>
      </w:r>
    </w:p>
    <w:p>
      <w:pPr>
        <w:snapToGrid w:val="0"/>
        <w:spacing w:line="360" w:lineRule="auto"/>
        <w:ind w:firstLine="480" w:firstLineChars="200"/>
        <w:rPr>
          <w:rFonts w:eastAsia="仿宋_GB2312"/>
          <w:kern w:val="0"/>
          <w:sz w:val="24"/>
        </w:rPr>
      </w:pPr>
      <w:r>
        <w:rPr>
          <w:rFonts w:eastAsia="仿宋_GB2312"/>
          <w:kern w:val="0"/>
          <w:sz w:val="24"/>
        </w:rPr>
        <w:t>风险指标W*（Max-X）/（Max-Min）</w:t>
      </w:r>
    </w:p>
    <w:p>
      <w:pPr>
        <w:snapToGrid w:val="0"/>
        <w:spacing w:line="360" w:lineRule="auto"/>
        <w:ind w:firstLine="480" w:firstLineChars="200"/>
        <w:rPr>
          <w:rFonts w:eastAsia="仿宋_GB2312"/>
          <w:kern w:val="0"/>
          <w:sz w:val="24"/>
        </w:rPr>
      </w:pPr>
      <w:r>
        <w:rPr>
          <w:rFonts w:eastAsia="仿宋_GB2312"/>
          <w:kern w:val="0"/>
          <w:sz w:val="24"/>
        </w:rPr>
        <w:t>业绩指标或风险收益指标W*（X- Min）/（Max-Min）</w:t>
      </w:r>
    </w:p>
    <w:p>
      <w:pPr>
        <w:snapToGrid w:val="0"/>
        <w:spacing w:line="360" w:lineRule="auto"/>
        <w:ind w:firstLine="480" w:firstLineChars="200"/>
        <w:rPr>
          <w:rFonts w:eastAsia="仿宋_GB2312"/>
          <w:kern w:val="0"/>
          <w:sz w:val="24"/>
        </w:rPr>
      </w:pPr>
    </w:p>
    <w:p>
      <w:pPr>
        <w:snapToGrid w:val="0"/>
        <w:spacing w:line="360" w:lineRule="auto"/>
        <w:ind w:firstLine="480" w:firstLineChars="200"/>
        <w:rPr>
          <w:rFonts w:eastAsia="仿宋_GB2312"/>
          <w:kern w:val="0"/>
          <w:sz w:val="24"/>
        </w:rPr>
      </w:pPr>
    </w:p>
    <w:p>
      <w:pPr>
        <w:snapToGrid w:val="0"/>
        <w:spacing w:line="360" w:lineRule="auto"/>
        <w:ind w:firstLine="480" w:firstLineChars="200"/>
        <w:rPr>
          <w:rFonts w:hint="eastAsia" w:eastAsia="仿宋_GB2312"/>
          <w:kern w:val="0"/>
          <w:sz w:val="24"/>
        </w:rPr>
      </w:pPr>
    </w:p>
    <w:p>
      <w:pPr>
        <w:snapToGrid w:val="0"/>
        <w:spacing w:line="360" w:lineRule="auto"/>
        <w:ind w:firstLine="480" w:firstLineChars="200"/>
        <w:rPr>
          <w:rFonts w:hint="eastAsia" w:eastAsia="仿宋_GB2312"/>
          <w:kern w:val="0"/>
          <w:sz w:val="24"/>
        </w:rPr>
      </w:pPr>
    </w:p>
    <w:p>
      <w:pPr>
        <w:snapToGrid w:val="0"/>
        <w:spacing w:line="360" w:lineRule="auto"/>
        <w:ind w:firstLine="480" w:firstLineChars="200"/>
        <w:rPr>
          <w:rFonts w:hint="eastAsia" w:eastAsia="仿宋_GB2312"/>
          <w:kern w:val="0"/>
          <w:sz w:val="24"/>
        </w:rPr>
      </w:pPr>
    </w:p>
    <w:p>
      <w:pPr>
        <w:snapToGrid w:val="0"/>
        <w:spacing w:line="360" w:lineRule="auto"/>
        <w:ind w:firstLine="480" w:firstLineChars="200"/>
        <w:rPr>
          <w:rFonts w:hint="eastAsia" w:eastAsia="仿宋_GB2312"/>
          <w:kern w:val="0"/>
          <w:sz w:val="24"/>
        </w:rPr>
      </w:pPr>
    </w:p>
    <w:p>
      <w:pPr>
        <w:snapToGrid w:val="0"/>
        <w:spacing w:line="360" w:lineRule="auto"/>
        <w:ind w:firstLine="480" w:firstLineChars="200"/>
        <w:rPr>
          <w:rFonts w:hint="eastAsia" w:eastAsia="仿宋_GB2312"/>
          <w:kern w:val="0"/>
          <w:sz w:val="24"/>
        </w:rPr>
      </w:pPr>
    </w:p>
    <w:p>
      <w:pPr>
        <w:snapToGrid w:val="0"/>
        <w:spacing w:line="360" w:lineRule="auto"/>
        <w:ind w:firstLine="480" w:firstLineChars="200"/>
        <w:rPr>
          <w:rFonts w:hint="eastAsia" w:eastAsia="仿宋_GB2312"/>
          <w:kern w:val="0"/>
          <w:sz w:val="24"/>
        </w:rPr>
      </w:pPr>
    </w:p>
    <w:p>
      <w:pPr>
        <w:numPr>
          <w:ilvl w:val="0"/>
          <w:numId w:val="1"/>
        </w:numPr>
        <w:spacing w:line="360" w:lineRule="auto"/>
        <w:ind w:left="1" w:firstLine="569" w:firstLineChars="236"/>
        <w:rPr>
          <w:rFonts w:eastAsia="仿宋_GB2312"/>
          <w:b/>
          <w:kern w:val="0"/>
          <w:sz w:val="24"/>
        </w:rPr>
      </w:pPr>
      <w:r>
        <w:rPr>
          <w:rFonts w:eastAsia="仿宋_GB2312"/>
          <w:b/>
          <w:kern w:val="0"/>
          <w:sz w:val="24"/>
        </w:rPr>
        <w:t>投资策略组评分细则</w:t>
      </w:r>
    </w:p>
    <w:p>
      <w:pPr>
        <w:snapToGrid w:val="0"/>
        <w:spacing w:line="360" w:lineRule="auto"/>
        <w:ind w:firstLine="480" w:firstLineChars="200"/>
        <w:jc w:val="left"/>
        <w:rPr>
          <w:rFonts w:eastAsia="仿宋_GB2312"/>
          <w:kern w:val="0"/>
          <w:sz w:val="24"/>
        </w:rPr>
      </w:pPr>
      <w:r>
        <w:rPr>
          <w:rFonts w:eastAsia="仿宋_GB2312"/>
          <w:kern w:val="0"/>
          <w:sz w:val="24"/>
        </w:rPr>
        <w:t>专家组评委根据下表对团队提交的复赛投资报告及实测报告进行评分，按权重计入团队最终得分。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eastAsia="仿宋_GB2312"/>
                <w:kern w:val="0"/>
                <w:sz w:val="24"/>
              </w:rPr>
            </w:pPr>
            <w:r>
              <w:rPr>
                <w:rFonts w:eastAsia="仿宋_GB2312"/>
                <w:kern w:val="0"/>
                <w:sz w:val="24"/>
              </w:rPr>
              <w:t>项目</w:t>
            </w:r>
          </w:p>
        </w:tc>
        <w:tc>
          <w:tcPr>
            <w:tcW w:w="6437" w:type="dxa"/>
          </w:tcPr>
          <w:p>
            <w:pPr>
              <w:spacing w:line="360" w:lineRule="auto"/>
              <w:jc w:val="center"/>
              <w:rPr>
                <w:rFonts w:eastAsia="仿宋_GB2312"/>
                <w:kern w:val="0"/>
                <w:sz w:val="24"/>
              </w:rPr>
            </w:pPr>
            <w:r>
              <w:rPr>
                <w:rFonts w:eastAsia="仿宋_GB2312"/>
                <w:kern w:val="0"/>
                <w:sz w:val="24"/>
              </w:rPr>
              <w:t>报告评分要素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51" w:type="dxa"/>
            <w:vAlign w:val="center"/>
          </w:tcPr>
          <w:p>
            <w:pPr>
              <w:spacing w:line="360" w:lineRule="auto"/>
              <w:jc w:val="center"/>
              <w:rPr>
                <w:rFonts w:eastAsia="仿宋_GB2312"/>
                <w:kern w:val="0"/>
                <w:sz w:val="24"/>
              </w:rPr>
            </w:pPr>
            <w:r>
              <w:rPr>
                <w:rFonts w:eastAsia="仿宋_GB2312"/>
                <w:kern w:val="0"/>
                <w:sz w:val="24"/>
              </w:rPr>
              <w:t>策略的创新性和逻辑40分</w:t>
            </w:r>
          </w:p>
        </w:tc>
        <w:tc>
          <w:tcPr>
            <w:tcW w:w="6437" w:type="dxa"/>
          </w:tcPr>
          <w:p>
            <w:pPr>
              <w:spacing w:line="360" w:lineRule="auto"/>
              <w:jc w:val="left"/>
              <w:rPr>
                <w:rFonts w:eastAsia="仿宋_GB2312"/>
                <w:kern w:val="0"/>
                <w:sz w:val="24"/>
              </w:rPr>
            </w:pPr>
            <w:r>
              <w:rPr>
                <w:rFonts w:eastAsia="仿宋_GB2312"/>
                <w:kern w:val="0"/>
                <w:sz w:val="24"/>
              </w:rPr>
              <w:t>（1）投资策略在思路或视角上的创新；（0-10分）</w:t>
            </w:r>
          </w:p>
          <w:p>
            <w:pPr>
              <w:spacing w:line="360" w:lineRule="auto"/>
              <w:jc w:val="left"/>
              <w:rPr>
                <w:rFonts w:eastAsia="仿宋_GB2312"/>
                <w:kern w:val="0"/>
                <w:sz w:val="24"/>
              </w:rPr>
            </w:pPr>
            <w:r>
              <w:rPr>
                <w:rFonts w:eastAsia="仿宋_GB2312"/>
                <w:kern w:val="0"/>
                <w:sz w:val="24"/>
              </w:rPr>
              <w:t>（2）投资策略在方法运用上的创新；（0-10分）</w:t>
            </w:r>
          </w:p>
          <w:p>
            <w:pPr>
              <w:spacing w:line="360" w:lineRule="auto"/>
              <w:jc w:val="left"/>
              <w:rPr>
                <w:rFonts w:eastAsia="仿宋_GB2312"/>
                <w:kern w:val="0"/>
                <w:sz w:val="24"/>
              </w:rPr>
            </w:pPr>
            <w:r>
              <w:rPr>
                <w:rFonts w:eastAsia="仿宋_GB2312"/>
                <w:kern w:val="0"/>
                <w:sz w:val="24"/>
              </w:rPr>
              <w:t>（3）投资策略的逻辑是否正确、严密；（0-10分）</w:t>
            </w:r>
          </w:p>
          <w:p>
            <w:pPr>
              <w:spacing w:line="360" w:lineRule="auto"/>
              <w:jc w:val="left"/>
              <w:rPr>
                <w:rFonts w:eastAsia="仿宋_GB2312"/>
                <w:kern w:val="0"/>
                <w:sz w:val="24"/>
              </w:rPr>
            </w:pPr>
            <w:r>
              <w:rPr>
                <w:rFonts w:eastAsia="仿宋_GB2312"/>
                <w:kern w:val="0"/>
                <w:sz w:val="24"/>
              </w:rPr>
              <w:t>（4）投资逻辑是否符合中国市场实践情况。（0-10分）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1951" w:type="dxa"/>
            <w:vAlign w:val="center"/>
          </w:tcPr>
          <w:p>
            <w:pPr>
              <w:spacing w:line="360" w:lineRule="auto"/>
              <w:jc w:val="center"/>
              <w:rPr>
                <w:rFonts w:eastAsia="仿宋_GB2312"/>
                <w:kern w:val="0"/>
                <w:sz w:val="24"/>
              </w:rPr>
            </w:pPr>
            <w:r>
              <w:rPr>
                <w:rFonts w:eastAsia="仿宋_GB2312"/>
                <w:kern w:val="0"/>
                <w:sz w:val="24"/>
              </w:rPr>
              <w:t>策略的设计与阐述55分</w:t>
            </w:r>
          </w:p>
        </w:tc>
        <w:tc>
          <w:tcPr>
            <w:tcW w:w="6437" w:type="dxa"/>
          </w:tcPr>
          <w:p>
            <w:pPr>
              <w:spacing w:line="360" w:lineRule="auto"/>
              <w:jc w:val="left"/>
              <w:rPr>
                <w:rFonts w:eastAsia="仿宋_GB2312"/>
                <w:kern w:val="0"/>
                <w:sz w:val="24"/>
              </w:rPr>
            </w:pPr>
            <w:r>
              <w:rPr>
                <w:rFonts w:eastAsia="仿宋_GB2312"/>
                <w:kern w:val="0"/>
                <w:sz w:val="24"/>
              </w:rPr>
              <w:t>（1）投资策略的设计与构建是否完整有效；（0-20分）</w:t>
            </w:r>
          </w:p>
          <w:p>
            <w:pPr>
              <w:spacing w:line="360" w:lineRule="auto"/>
              <w:jc w:val="left"/>
              <w:rPr>
                <w:rFonts w:eastAsia="仿宋_GB2312"/>
                <w:kern w:val="0"/>
                <w:sz w:val="24"/>
              </w:rPr>
            </w:pPr>
            <w:r>
              <w:rPr>
                <w:rFonts w:eastAsia="仿宋_GB2312"/>
                <w:kern w:val="0"/>
                <w:sz w:val="24"/>
              </w:rPr>
              <w:t>（2）使用的指标或模型是否科学合理；（0-15分）</w:t>
            </w:r>
          </w:p>
          <w:p>
            <w:pPr>
              <w:spacing w:line="360" w:lineRule="auto"/>
              <w:jc w:val="left"/>
              <w:rPr>
                <w:rFonts w:eastAsia="仿宋_GB2312"/>
                <w:kern w:val="0"/>
                <w:sz w:val="24"/>
              </w:rPr>
            </w:pPr>
            <w:r>
              <w:rPr>
                <w:rFonts w:eastAsia="仿宋_GB2312"/>
                <w:kern w:val="0"/>
                <w:sz w:val="24"/>
              </w:rPr>
              <w:t>（3）选题目的明确，报告内容与选题一致；（0-5分）</w:t>
            </w:r>
          </w:p>
          <w:p>
            <w:pPr>
              <w:spacing w:line="360" w:lineRule="auto"/>
              <w:jc w:val="left"/>
              <w:rPr>
                <w:rFonts w:eastAsia="仿宋_GB2312"/>
                <w:kern w:val="0"/>
                <w:sz w:val="24"/>
              </w:rPr>
            </w:pPr>
            <w:r>
              <w:rPr>
                <w:rFonts w:eastAsia="仿宋_GB2312"/>
                <w:kern w:val="0"/>
                <w:sz w:val="24"/>
              </w:rPr>
              <w:t>（4）报告主体纲要及内容齐全、合理规范；摘要叙述简练完整，报告层次分明、图表规范、专业词汇运用准确；（0-10分）</w:t>
            </w:r>
          </w:p>
          <w:p>
            <w:pPr>
              <w:spacing w:line="360" w:lineRule="auto"/>
              <w:jc w:val="left"/>
              <w:rPr>
                <w:rFonts w:eastAsia="仿宋_GB2312"/>
                <w:kern w:val="0"/>
                <w:sz w:val="24"/>
              </w:rPr>
            </w:pPr>
            <w:r>
              <w:rPr>
                <w:rFonts w:eastAsia="仿宋_GB2312"/>
                <w:kern w:val="0"/>
                <w:sz w:val="24"/>
              </w:rPr>
              <w:t>（5）报告字数不少于1000字，不超过20000字。（0-5分）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51" w:type="dxa"/>
            <w:vAlign w:val="center"/>
          </w:tcPr>
          <w:p>
            <w:pPr>
              <w:spacing w:line="360" w:lineRule="auto"/>
              <w:jc w:val="center"/>
              <w:rPr>
                <w:rFonts w:eastAsia="仿宋_GB2312"/>
                <w:kern w:val="0"/>
                <w:sz w:val="24"/>
              </w:rPr>
            </w:pPr>
            <w:r>
              <w:rPr>
                <w:rFonts w:eastAsia="仿宋_GB2312"/>
                <w:kern w:val="0"/>
                <w:sz w:val="24"/>
              </w:rPr>
              <w:t>程序实现5分</w:t>
            </w:r>
          </w:p>
        </w:tc>
        <w:tc>
          <w:tcPr>
            <w:tcW w:w="6437" w:type="dxa"/>
          </w:tcPr>
          <w:p>
            <w:pPr>
              <w:spacing w:line="360" w:lineRule="auto"/>
              <w:jc w:val="left"/>
              <w:rPr>
                <w:rFonts w:eastAsia="仿宋_GB2312"/>
                <w:kern w:val="0"/>
                <w:sz w:val="24"/>
              </w:rPr>
            </w:pPr>
            <w:r>
              <w:rPr>
                <w:rFonts w:eastAsia="仿宋_GB2312"/>
                <w:kern w:val="0"/>
                <w:sz w:val="24"/>
              </w:rPr>
              <w:t>是否能使用软件编程帮助完成部分或全部策略编写。（0-5分）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388" w:type="dxa"/>
            <w:gridSpan w:val="2"/>
            <w:vAlign w:val="center"/>
          </w:tcPr>
          <w:p>
            <w:pPr>
              <w:spacing w:line="360" w:lineRule="auto"/>
              <w:jc w:val="center"/>
              <w:rPr>
                <w:rFonts w:eastAsia="仿宋_GB2312"/>
                <w:kern w:val="0"/>
                <w:sz w:val="24"/>
              </w:rPr>
            </w:pPr>
            <w:r>
              <w:rPr>
                <w:rFonts w:eastAsia="仿宋_GB2312"/>
                <w:kern w:val="0"/>
                <w:sz w:val="24"/>
              </w:rPr>
              <w:t>总分100分</w:t>
            </w:r>
          </w:p>
        </w:tc>
      </w:tr>
    </w:tbl>
    <w:p>
      <w:pPr>
        <w:snapToGrid w:val="0"/>
        <w:spacing w:line="360" w:lineRule="auto"/>
        <w:ind w:firstLine="260" w:firstLineChars="200"/>
        <w:jc w:val="left"/>
        <w:rPr>
          <w:rFonts w:eastAsia="仿宋_GB2312"/>
          <w:bCs/>
          <w:sz w:val="13"/>
          <w:szCs w:val="13"/>
        </w:rPr>
      </w:pPr>
    </w:p>
    <w:p>
      <w:pPr>
        <w:snapToGrid w:val="0"/>
        <w:spacing w:line="360" w:lineRule="auto"/>
        <w:ind w:firstLine="480" w:firstLineChars="200"/>
        <w:jc w:val="left"/>
        <w:rPr>
          <w:rFonts w:eastAsia="仿宋_GB2312"/>
          <w:bCs/>
          <w:sz w:val="24"/>
        </w:rPr>
      </w:pPr>
      <w:r>
        <w:rPr>
          <w:rFonts w:eastAsia="仿宋_GB2312"/>
          <w:bCs/>
          <w:sz w:val="24"/>
        </w:rPr>
        <w:t>参赛队伍的投资报告成绩按照以下公式计算：</w:t>
      </w:r>
    </w:p>
    <w:p>
      <w:pPr>
        <w:snapToGrid w:val="0"/>
        <w:spacing w:line="360" w:lineRule="auto"/>
        <w:ind w:firstLine="480" w:firstLineChars="200"/>
        <w:jc w:val="left"/>
        <w:rPr>
          <w:rFonts w:eastAsia="仿宋_GB2312"/>
          <w:bCs/>
          <w:sz w:val="24"/>
        </w:rPr>
      </w:pPr>
      <w:r>
        <w:rPr>
          <w:rFonts w:eastAsia="仿宋_GB2312"/>
          <w:bCs/>
          <w:sz w:val="24"/>
        </w:rPr>
        <w:t>最终报告成绩＝本队报告成绩×（全体参赛队伍报告平均成绩／所在专家评分组报告平均成绩）</w:t>
      </w:r>
    </w:p>
    <w:p>
      <w:pPr>
        <w:numPr>
          <w:ilvl w:val="0"/>
          <w:numId w:val="1"/>
        </w:numPr>
        <w:spacing w:line="360" w:lineRule="auto"/>
        <w:ind w:left="1" w:firstLine="569" w:firstLineChars="236"/>
        <w:rPr>
          <w:rFonts w:eastAsia="仿宋_GB2312"/>
          <w:b/>
          <w:bCs/>
          <w:sz w:val="24"/>
        </w:rPr>
      </w:pPr>
      <w:r>
        <w:rPr>
          <w:rFonts w:eastAsia="仿宋_GB2312"/>
          <w:b/>
          <w:kern w:val="0"/>
          <w:sz w:val="24"/>
        </w:rPr>
        <w:t>量化交易组实测效果评分细则</w:t>
      </w:r>
    </w:p>
    <w:tbl>
      <w:tblPr>
        <w:tblStyle w:val="7"/>
        <w:tblW w:w="876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242"/>
        <w:gridCol w:w="1386"/>
        <w:gridCol w:w="709"/>
        <w:gridCol w:w="54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242"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指标类别</w:t>
            </w:r>
          </w:p>
        </w:tc>
        <w:tc>
          <w:tcPr>
            <w:tcW w:w="1386"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指标</w:t>
            </w:r>
          </w:p>
        </w:tc>
        <w:tc>
          <w:tcPr>
            <w:tcW w:w="709"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权重</w:t>
            </w:r>
          </w:p>
        </w:tc>
        <w:tc>
          <w:tcPr>
            <w:tcW w:w="5432"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计算公式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1242" w:type="dxa"/>
            <w:shd w:val="clear" w:color="auto" w:fill="auto"/>
            <w:vAlign w:val="center"/>
          </w:tcPr>
          <w:p>
            <w:pPr>
              <w:widowControl/>
              <w:spacing w:line="360" w:lineRule="auto"/>
              <w:jc w:val="center"/>
              <w:rPr>
                <w:rFonts w:eastAsia="仿宋_GB2312"/>
                <w:bCs/>
                <w:kern w:val="0"/>
                <w:sz w:val="24"/>
              </w:rPr>
            </w:pPr>
            <w:r>
              <w:rPr>
                <w:rFonts w:eastAsia="仿宋_GB2312"/>
                <w:bCs/>
                <w:kern w:val="0"/>
                <w:sz w:val="24"/>
              </w:rPr>
              <w:t>业绩指标</w:t>
            </w:r>
          </w:p>
          <w:p>
            <w:pPr>
              <w:widowControl/>
              <w:spacing w:line="360" w:lineRule="auto"/>
              <w:jc w:val="center"/>
              <w:rPr>
                <w:rFonts w:eastAsia="仿宋_GB2312"/>
                <w:bCs/>
                <w:kern w:val="0"/>
                <w:sz w:val="24"/>
              </w:rPr>
            </w:pPr>
            <w:r>
              <w:rPr>
                <w:rFonts w:hint="eastAsia" w:eastAsia="仿宋_GB2312"/>
                <w:bCs/>
                <w:kern w:val="0"/>
                <w:sz w:val="24"/>
              </w:rPr>
              <w:t>6</w:t>
            </w:r>
            <w:r>
              <w:rPr>
                <w:rFonts w:eastAsia="仿宋_GB2312"/>
                <w:bCs/>
                <w:kern w:val="0"/>
                <w:sz w:val="24"/>
              </w:rPr>
              <w:t>0分</w:t>
            </w:r>
          </w:p>
        </w:tc>
        <w:tc>
          <w:tcPr>
            <w:tcW w:w="1386" w:type="dxa"/>
            <w:shd w:val="clear" w:color="auto" w:fill="auto"/>
            <w:vAlign w:val="center"/>
          </w:tcPr>
          <w:p>
            <w:pPr>
              <w:widowControl/>
              <w:spacing w:line="360" w:lineRule="auto"/>
              <w:jc w:val="center"/>
              <w:rPr>
                <w:rFonts w:eastAsia="仿宋_GB2312"/>
                <w:kern w:val="0"/>
                <w:sz w:val="24"/>
              </w:rPr>
            </w:pPr>
            <w:r>
              <w:rPr>
                <w:rFonts w:eastAsia="仿宋_GB2312"/>
                <w:kern w:val="0"/>
                <w:sz w:val="24"/>
              </w:rPr>
              <w:t>年化收益率(%)</w:t>
            </w:r>
          </w:p>
        </w:tc>
        <w:tc>
          <w:tcPr>
            <w:tcW w:w="709" w:type="dxa"/>
            <w:shd w:val="clear" w:color="auto" w:fill="auto"/>
            <w:noWrap/>
            <w:vAlign w:val="center"/>
          </w:tcPr>
          <w:p>
            <w:pPr>
              <w:widowControl/>
              <w:spacing w:line="360" w:lineRule="auto"/>
              <w:jc w:val="center"/>
              <w:rPr>
                <w:rFonts w:eastAsia="仿宋_GB2312"/>
                <w:kern w:val="0"/>
                <w:sz w:val="24"/>
              </w:rPr>
            </w:pPr>
            <w:r>
              <w:rPr>
                <w:rFonts w:hint="eastAsia" w:eastAsia="仿宋_GB2312"/>
                <w:kern w:val="0"/>
                <w:sz w:val="24"/>
              </w:rPr>
              <w:t>6</w:t>
            </w:r>
            <w:r>
              <w:rPr>
                <w:rFonts w:eastAsia="仿宋_GB2312"/>
                <w:kern w:val="0"/>
                <w:sz w:val="24"/>
              </w:rPr>
              <w:t>0%</w:t>
            </w:r>
          </w:p>
        </w:tc>
        <w:tc>
          <w:tcPr>
            <w:tcW w:w="5432" w:type="dxa"/>
            <w:shd w:val="clear" w:color="auto" w:fill="auto"/>
            <w:vAlign w:val="center"/>
          </w:tcPr>
          <w:p>
            <w:pPr>
              <w:widowControl/>
              <w:spacing w:line="360" w:lineRule="auto"/>
              <w:jc w:val="left"/>
              <w:rPr>
                <w:rFonts w:eastAsia="仿宋_GB2312"/>
                <w:kern w:val="0"/>
                <w:sz w:val="24"/>
              </w:rPr>
            </w:pPr>
            <w:r>
              <w:rPr>
                <w:rFonts w:eastAsia="仿宋_GB2312"/>
                <w:kern w:val="0"/>
                <w:sz w:val="24"/>
              </w:rPr>
              <w:t>t日年化收益率=365*[p(t)-p(1)]/[p(1)*t]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84" w:hRule="atLeast"/>
          <w:jc w:val="center"/>
        </w:trPr>
        <w:tc>
          <w:tcPr>
            <w:tcW w:w="1242" w:type="dxa"/>
            <w:shd w:val="clear" w:color="auto" w:fill="auto"/>
            <w:vAlign w:val="center"/>
          </w:tcPr>
          <w:p>
            <w:pPr>
              <w:widowControl/>
              <w:spacing w:line="360" w:lineRule="auto"/>
              <w:jc w:val="center"/>
              <w:rPr>
                <w:rFonts w:eastAsia="仿宋_GB2312"/>
                <w:bCs/>
                <w:kern w:val="0"/>
                <w:sz w:val="24"/>
              </w:rPr>
            </w:pPr>
            <w:r>
              <w:rPr>
                <w:rFonts w:eastAsia="仿宋_GB2312"/>
                <w:bCs/>
                <w:kern w:val="0"/>
                <w:sz w:val="24"/>
              </w:rPr>
              <w:t>风险指标</w:t>
            </w:r>
          </w:p>
          <w:p>
            <w:pPr>
              <w:widowControl/>
              <w:spacing w:line="360" w:lineRule="auto"/>
              <w:jc w:val="center"/>
              <w:rPr>
                <w:rFonts w:eastAsia="仿宋_GB2312"/>
                <w:bCs/>
                <w:kern w:val="0"/>
                <w:sz w:val="24"/>
              </w:rPr>
            </w:pPr>
            <w:r>
              <w:rPr>
                <w:rFonts w:hint="eastAsia" w:eastAsia="仿宋_GB2312"/>
                <w:bCs/>
                <w:kern w:val="0"/>
                <w:sz w:val="24"/>
              </w:rPr>
              <w:t>2</w:t>
            </w:r>
            <w:r>
              <w:rPr>
                <w:rFonts w:eastAsia="仿宋_GB2312"/>
                <w:bCs/>
                <w:kern w:val="0"/>
                <w:sz w:val="24"/>
              </w:rPr>
              <w:t>0分</w:t>
            </w:r>
          </w:p>
        </w:tc>
        <w:tc>
          <w:tcPr>
            <w:tcW w:w="1386" w:type="dxa"/>
            <w:shd w:val="clear" w:color="auto" w:fill="auto"/>
            <w:vAlign w:val="center"/>
          </w:tcPr>
          <w:p>
            <w:pPr>
              <w:widowControl/>
              <w:spacing w:line="360" w:lineRule="auto"/>
              <w:jc w:val="center"/>
              <w:rPr>
                <w:rFonts w:eastAsia="仿宋_GB2312"/>
                <w:kern w:val="0"/>
                <w:sz w:val="24"/>
              </w:rPr>
            </w:pPr>
            <w:r>
              <w:rPr>
                <w:rFonts w:eastAsia="仿宋_GB2312"/>
                <w:kern w:val="0"/>
                <w:sz w:val="24"/>
              </w:rPr>
              <w:t>最大回撤(%)</w:t>
            </w:r>
          </w:p>
        </w:tc>
        <w:tc>
          <w:tcPr>
            <w:tcW w:w="709"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20%</w:t>
            </w:r>
          </w:p>
        </w:tc>
        <w:tc>
          <w:tcPr>
            <w:tcW w:w="5432" w:type="dxa"/>
            <w:shd w:val="clear" w:color="auto" w:fill="auto"/>
            <w:vAlign w:val="center"/>
          </w:tcPr>
          <w:p>
            <w:pPr>
              <w:widowControl/>
              <w:spacing w:line="360" w:lineRule="auto"/>
              <w:jc w:val="left"/>
              <w:rPr>
                <w:rFonts w:eastAsia="仿宋_GB2312"/>
                <w:kern w:val="0"/>
                <w:sz w:val="24"/>
              </w:rPr>
            </w:pPr>
            <w:r>
              <w:rPr>
                <w:rFonts w:eastAsia="仿宋_GB2312"/>
                <w:kern w:val="0"/>
                <w:sz w:val="24"/>
              </w:rPr>
              <w:t>t日最大回撤=min[p(t1+n)-p(t1)]/p(t1);t1=1,2,3...t-1;n=1,2,3...t-t1;如果计算结果&gt;0，则为n/a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1242" w:type="dxa"/>
            <w:shd w:val="clear" w:color="auto" w:fill="auto"/>
            <w:vAlign w:val="center"/>
          </w:tcPr>
          <w:p>
            <w:pPr>
              <w:widowControl/>
              <w:spacing w:line="360" w:lineRule="auto"/>
              <w:jc w:val="center"/>
              <w:rPr>
                <w:rFonts w:eastAsia="仿宋_GB2312"/>
                <w:bCs/>
                <w:kern w:val="0"/>
                <w:sz w:val="24"/>
              </w:rPr>
            </w:pPr>
            <w:r>
              <w:rPr>
                <w:rFonts w:eastAsia="仿宋_GB2312"/>
                <w:bCs/>
                <w:kern w:val="0"/>
                <w:sz w:val="24"/>
              </w:rPr>
              <w:t>风险收益指标20分</w:t>
            </w:r>
          </w:p>
        </w:tc>
        <w:tc>
          <w:tcPr>
            <w:tcW w:w="1386" w:type="dxa"/>
            <w:shd w:val="clear" w:color="auto" w:fill="auto"/>
            <w:vAlign w:val="center"/>
          </w:tcPr>
          <w:p>
            <w:pPr>
              <w:widowControl/>
              <w:spacing w:line="360" w:lineRule="auto"/>
              <w:jc w:val="center"/>
              <w:rPr>
                <w:rFonts w:eastAsia="仿宋_GB2312"/>
                <w:kern w:val="0"/>
                <w:sz w:val="24"/>
              </w:rPr>
            </w:pPr>
            <w:r>
              <w:rPr>
                <w:rFonts w:eastAsia="仿宋_GB2312"/>
                <w:kern w:val="0"/>
                <w:sz w:val="24"/>
              </w:rPr>
              <w:t>Sharpe Ratio</w:t>
            </w:r>
          </w:p>
        </w:tc>
        <w:tc>
          <w:tcPr>
            <w:tcW w:w="709" w:type="dxa"/>
            <w:shd w:val="clear" w:color="auto" w:fill="auto"/>
            <w:noWrap/>
            <w:vAlign w:val="center"/>
          </w:tcPr>
          <w:p>
            <w:pPr>
              <w:widowControl/>
              <w:spacing w:line="360" w:lineRule="auto"/>
              <w:jc w:val="center"/>
              <w:rPr>
                <w:rFonts w:eastAsia="仿宋_GB2312"/>
                <w:kern w:val="0"/>
                <w:sz w:val="24"/>
              </w:rPr>
            </w:pPr>
            <w:r>
              <w:rPr>
                <w:rFonts w:eastAsia="仿宋_GB2312"/>
                <w:kern w:val="0"/>
                <w:sz w:val="24"/>
              </w:rPr>
              <w:t>20%</w:t>
            </w:r>
          </w:p>
        </w:tc>
        <w:tc>
          <w:tcPr>
            <w:tcW w:w="5432" w:type="dxa"/>
            <w:shd w:val="clear" w:color="auto" w:fill="auto"/>
            <w:vAlign w:val="center"/>
          </w:tcPr>
          <w:p>
            <w:pPr>
              <w:widowControl/>
              <w:spacing w:line="360" w:lineRule="auto"/>
              <w:jc w:val="left"/>
              <w:rPr>
                <w:rFonts w:eastAsia="仿宋_GB2312"/>
                <w:kern w:val="0"/>
                <w:sz w:val="24"/>
              </w:rPr>
            </w:pPr>
            <w:r>
              <w:rPr>
                <w:rFonts w:eastAsia="仿宋_GB2312"/>
                <w:kern w:val="0"/>
                <w:sz w:val="24"/>
              </w:rPr>
              <w:t>t日Sharpe Ratio={365*[p(t)-p(1)]/[p(1)*t]}/h；h=std{365*[p(t1+1)-p(t1)]/[p(1)*t1]},t1=1,2,3…t-1；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8769" w:type="dxa"/>
            <w:gridSpan w:val="4"/>
            <w:shd w:val="clear" w:color="auto" w:fill="auto"/>
            <w:vAlign w:val="center"/>
          </w:tcPr>
          <w:p>
            <w:pPr>
              <w:widowControl/>
              <w:spacing w:line="360" w:lineRule="auto"/>
              <w:jc w:val="center"/>
              <w:rPr>
                <w:rFonts w:eastAsia="仿宋_GB2312"/>
                <w:kern w:val="0"/>
                <w:sz w:val="24"/>
              </w:rPr>
            </w:pPr>
            <w:r>
              <w:rPr>
                <w:rFonts w:eastAsia="仿宋_GB2312"/>
                <w:bCs/>
                <w:kern w:val="0"/>
                <w:sz w:val="24"/>
              </w:rPr>
              <w:t>总分100分</w:t>
            </w:r>
          </w:p>
        </w:tc>
      </w:tr>
    </w:tbl>
    <w:p>
      <w:pPr>
        <w:snapToGrid w:val="0"/>
        <w:spacing w:line="360" w:lineRule="auto"/>
        <w:ind w:firstLine="260" w:firstLineChars="200"/>
        <w:jc w:val="left"/>
        <w:rPr>
          <w:rFonts w:eastAsia="仿宋_GB2312"/>
          <w:kern w:val="0"/>
          <w:sz w:val="13"/>
          <w:szCs w:val="13"/>
        </w:rPr>
      </w:pPr>
    </w:p>
    <w:p>
      <w:pPr>
        <w:snapToGrid w:val="0"/>
        <w:spacing w:line="360" w:lineRule="auto"/>
        <w:ind w:firstLine="480" w:firstLineChars="200"/>
        <w:rPr>
          <w:rFonts w:eastAsia="仿宋_GB2312"/>
          <w:kern w:val="0"/>
          <w:sz w:val="24"/>
        </w:rPr>
      </w:pPr>
      <w:r>
        <w:rPr>
          <w:rFonts w:eastAsia="仿宋_GB2312"/>
          <w:kern w:val="0"/>
          <w:sz w:val="24"/>
        </w:rPr>
        <w:t>已知数据：每日总资产p，第一日总资产即p(1)，第二日即p(2)，第t日即p(t)，该日期是自然日。针对每个考察指标，对所有参赛者策略根据相应指标属性进行排序。在排序序列中，两端5%的得分指标分别计满分和零分，其余得分计算如下：排序序列中间的90%中，考察指标的最大值=Max，考察指标的最小值=Min，考察的参赛者策略的指标值为X，相应该考察指标的满分为W，则风险与业绩的相应得分计算公式为：</w:t>
      </w:r>
    </w:p>
    <w:p>
      <w:pPr>
        <w:snapToGrid w:val="0"/>
        <w:spacing w:line="360" w:lineRule="auto"/>
        <w:ind w:firstLine="480" w:firstLineChars="200"/>
        <w:rPr>
          <w:rFonts w:eastAsia="仿宋_GB2312"/>
          <w:kern w:val="0"/>
          <w:sz w:val="24"/>
        </w:rPr>
      </w:pPr>
      <w:r>
        <w:rPr>
          <w:rFonts w:eastAsia="仿宋_GB2312"/>
          <w:kern w:val="0"/>
          <w:sz w:val="24"/>
        </w:rPr>
        <w:t>风险指标W*（Max-X）/（Max-Min）</w:t>
      </w:r>
    </w:p>
    <w:p>
      <w:pPr>
        <w:snapToGrid w:val="0"/>
        <w:spacing w:line="360" w:lineRule="auto"/>
        <w:ind w:firstLine="480" w:firstLineChars="200"/>
        <w:rPr>
          <w:rFonts w:eastAsia="仿宋_GB2312"/>
          <w:kern w:val="0"/>
          <w:sz w:val="24"/>
        </w:rPr>
      </w:pPr>
      <w:r>
        <w:rPr>
          <w:rFonts w:eastAsia="仿宋_GB2312"/>
          <w:kern w:val="0"/>
          <w:sz w:val="24"/>
        </w:rPr>
        <w:t>业绩指标或风险收益指标W*（X- Min）/（Max-Min）</w:t>
      </w:r>
    </w:p>
    <w:p>
      <w:pPr>
        <w:snapToGrid w:val="0"/>
        <w:spacing w:line="360" w:lineRule="auto"/>
        <w:ind w:firstLine="480" w:firstLineChars="200"/>
        <w:rPr>
          <w:rFonts w:eastAsia="仿宋_GB2312"/>
          <w:kern w:val="0"/>
          <w:sz w:val="24"/>
        </w:rPr>
      </w:pPr>
    </w:p>
    <w:p>
      <w:pPr>
        <w:numPr>
          <w:ilvl w:val="0"/>
          <w:numId w:val="1"/>
        </w:numPr>
        <w:spacing w:line="360" w:lineRule="auto"/>
        <w:ind w:left="1" w:firstLine="569" w:firstLineChars="236"/>
        <w:rPr>
          <w:rFonts w:eastAsia="仿宋_GB2312"/>
          <w:b/>
          <w:kern w:val="0"/>
          <w:sz w:val="24"/>
        </w:rPr>
      </w:pPr>
      <w:r>
        <w:rPr>
          <w:rFonts w:eastAsia="仿宋_GB2312"/>
          <w:b/>
          <w:kern w:val="0"/>
          <w:sz w:val="24"/>
        </w:rPr>
        <w:t>量化交易报告评分细则</w:t>
      </w:r>
    </w:p>
    <w:p>
      <w:pPr>
        <w:snapToGrid w:val="0"/>
        <w:spacing w:line="360" w:lineRule="auto"/>
        <w:ind w:firstLine="480" w:firstLineChars="200"/>
        <w:rPr>
          <w:rFonts w:eastAsia="仿宋_GB2312"/>
          <w:color w:val="000000"/>
          <w:kern w:val="0"/>
          <w:sz w:val="24"/>
        </w:rPr>
      </w:pPr>
      <w:r>
        <w:rPr>
          <w:rFonts w:eastAsia="仿宋_GB2312"/>
          <w:kern w:val="0"/>
          <w:sz w:val="24"/>
        </w:rPr>
        <w:t>专家组评委根据下表对团队提交的复赛投资报告及实测报告进行评分，按权重计入团队最终得分。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jc w:val="center"/>
              <w:rPr>
                <w:rFonts w:eastAsia="仿宋_GB2312"/>
                <w:kern w:val="0"/>
                <w:sz w:val="24"/>
              </w:rPr>
            </w:pPr>
            <w:r>
              <w:rPr>
                <w:rFonts w:eastAsia="仿宋_GB2312"/>
                <w:kern w:val="0"/>
                <w:sz w:val="24"/>
              </w:rPr>
              <w:t>项目</w:t>
            </w:r>
          </w:p>
        </w:tc>
        <w:tc>
          <w:tcPr>
            <w:tcW w:w="6012" w:type="dxa"/>
          </w:tcPr>
          <w:p>
            <w:pPr>
              <w:spacing w:line="360" w:lineRule="auto"/>
              <w:jc w:val="center"/>
              <w:rPr>
                <w:rFonts w:eastAsia="仿宋_GB2312"/>
                <w:kern w:val="0"/>
                <w:sz w:val="24"/>
              </w:rPr>
            </w:pPr>
            <w:r>
              <w:rPr>
                <w:rFonts w:eastAsia="仿宋_GB2312"/>
                <w:kern w:val="0"/>
                <w:sz w:val="24"/>
              </w:rPr>
              <w:t>报告评分要素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360" w:lineRule="auto"/>
              <w:jc w:val="center"/>
              <w:rPr>
                <w:rFonts w:eastAsia="仿宋_GB2312"/>
                <w:kern w:val="0"/>
                <w:sz w:val="24"/>
              </w:rPr>
            </w:pPr>
            <w:r>
              <w:rPr>
                <w:rFonts w:eastAsia="仿宋_GB2312"/>
                <w:kern w:val="0"/>
                <w:sz w:val="24"/>
              </w:rPr>
              <w:t>策略的创新性和逻辑35分</w:t>
            </w:r>
          </w:p>
        </w:tc>
        <w:tc>
          <w:tcPr>
            <w:tcW w:w="6012" w:type="dxa"/>
          </w:tcPr>
          <w:p>
            <w:pPr>
              <w:spacing w:line="360" w:lineRule="auto"/>
              <w:jc w:val="left"/>
              <w:rPr>
                <w:rFonts w:eastAsia="仿宋_GB2312"/>
                <w:kern w:val="0"/>
                <w:sz w:val="24"/>
              </w:rPr>
            </w:pPr>
            <w:r>
              <w:rPr>
                <w:rFonts w:eastAsia="仿宋_GB2312"/>
                <w:kern w:val="0"/>
                <w:sz w:val="24"/>
              </w:rPr>
              <w:t>（1）量化策略在思路或视角上的创新；（0-10分）</w:t>
            </w:r>
          </w:p>
          <w:p>
            <w:pPr>
              <w:spacing w:line="360" w:lineRule="auto"/>
              <w:jc w:val="left"/>
              <w:rPr>
                <w:rFonts w:eastAsia="仿宋_GB2312"/>
                <w:kern w:val="0"/>
                <w:sz w:val="24"/>
              </w:rPr>
            </w:pPr>
            <w:r>
              <w:rPr>
                <w:rFonts w:eastAsia="仿宋_GB2312"/>
                <w:kern w:val="0"/>
                <w:sz w:val="24"/>
              </w:rPr>
              <w:t>（2）量化策略在方法运用上的创新；（0-10分）</w:t>
            </w:r>
          </w:p>
          <w:p>
            <w:pPr>
              <w:spacing w:line="360" w:lineRule="auto"/>
              <w:jc w:val="left"/>
              <w:rPr>
                <w:rFonts w:eastAsia="仿宋_GB2312"/>
                <w:kern w:val="0"/>
                <w:sz w:val="24"/>
              </w:rPr>
            </w:pPr>
            <w:r>
              <w:rPr>
                <w:rFonts w:eastAsia="仿宋_GB2312"/>
                <w:kern w:val="0"/>
                <w:sz w:val="24"/>
              </w:rPr>
              <w:t>（3）量化策略的逻辑是否正确、严密；（0-10分）</w:t>
            </w:r>
          </w:p>
          <w:p>
            <w:pPr>
              <w:spacing w:line="360" w:lineRule="auto"/>
              <w:jc w:val="left"/>
              <w:rPr>
                <w:rFonts w:eastAsia="仿宋_GB2312"/>
                <w:kern w:val="0"/>
                <w:sz w:val="24"/>
              </w:rPr>
            </w:pPr>
            <w:r>
              <w:rPr>
                <w:rFonts w:eastAsia="仿宋_GB2312"/>
                <w:kern w:val="0"/>
                <w:sz w:val="24"/>
              </w:rPr>
              <w:t>（4）投资逻辑是否符合中国市场实践情况。（0-5分）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360" w:lineRule="auto"/>
              <w:jc w:val="center"/>
              <w:rPr>
                <w:rFonts w:eastAsia="仿宋_GB2312"/>
                <w:kern w:val="0"/>
                <w:sz w:val="24"/>
              </w:rPr>
            </w:pPr>
            <w:r>
              <w:rPr>
                <w:rFonts w:eastAsia="仿宋_GB2312"/>
                <w:kern w:val="0"/>
                <w:sz w:val="24"/>
              </w:rPr>
              <w:t>策略的设计与阐述55分</w:t>
            </w:r>
          </w:p>
        </w:tc>
        <w:tc>
          <w:tcPr>
            <w:tcW w:w="6012" w:type="dxa"/>
          </w:tcPr>
          <w:p>
            <w:pPr>
              <w:spacing w:line="360" w:lineRule="auto"/>
              <w:jc w:val="left"/>
              <w:rPr>
                <w:rFonts w:eastAsia="仿宋_GB2312"/>
                <w:kern w:val="0"/>
                <w:sz w:val="24"/>
              </w:rPr>
            </w:pPr>
            <w:r>
              <w:rPr>
                <w:rFonts w:eastAsia="仿宋_GB2312"/>
                <w:kern w:val="0"/>
                <w:sz w:val="24"/>
              </w:rPr>
              <w:t>（1）量化策略的设计与构建是否完整有效；（0-15分）</w:t>
            </w:r>
          </w:p>
          <w:p>
            <w:pPr>
              <w:spacing w:line="360" w:lineRule="auto"/>
              <w:jc w:val="left"/>
              <w:rPr>
                <w:rFonts w:eastAsia="仿宋_GB2312"/>
                <w:kern w:val="0"/>
                <w:sz w:val="24"/>
              </w:rPr>
            </w:pPr>
            <w:r>
              <w:rPr>
                <w:rFonts w:eastAsia="仿宋_GB2312"/>
                <w:kern w:val="0"/>
                <w:sz w:val="24"/>
              </w:rPr>
              <w:t>（2）使用的指标或模型是否科学合理；（0-10分）</w:t>
            </w:r>
          </w:p>
          <w:p>
            <w:pPr>
              <w:spacing w:line="360" w:lineRule="auto"/>
              <w:jc w:val="left"/>
              <w:rPr>
                <w:rFonts w:eastAsia="仿宋_GB2312"/>
                <w:kern w:val="0"/>
                <w:sz w:val="24"/>
              </w:rPr>
            </w:pPr>
            <w:r>
              <w:rPr>
                <w:rFonts w:eastAsia="仿宋_GB2312"/>
                <w:kern w:val="0"/>
                <w:sz w:val="24"/>
              </w:rPr>
              <w:t>（3）有合理的风险控制策略；（0-10分）</w:t>
            </w:r>
          </w:p>
          <w:p>
            <w:pPr>
              <w:spacing w:line="360" w:lineRule="auto"/>
              <w:jc w:val="left"/>
              <w:rPr>
                <w:rFonts w:eastAsia="仿宋_GB2312"/>
                <w:kern w:val="0"/>
                <w:sz w:val="24"/>
              </w:rPr>
            </w:pPr>
            <w:r>
              <w:rPr>
                <w:rFonts w:eastAsia="仿宋_GB2312"/>
                <w:kern w:val="0"/>
                <w:sz w:val="24"/>
              </w:rPr>
              <w:t>（4）选题目的明确，报告内容与选题一致；（0-5分）</w:t>
            </w:r>
          </w:p>
          <w:p>
            <w:pPr>
              <w:spacing w:line="360" w:lineRule="auto"/>
              <w:jc w:val="left"/>
              <w:rPr>
                <w:rFonts w:eastAsia="仿宋_GB2312"/>
                <w:kern w:val="0"/>
                <w:sz w:val="24"/>
              </w:rPr>
            </w:pPr>
            <w:r>
              <w:rPr>
                <w:rFonts w:eastAsia="仿宋_GB2312"/>
                <w:kern w:val="0"/>
                <w:sz w:val="24"/>
              </w:rPr>
              <w:t>（5）报告主体纲要及内容齐全、合理规范；摘要叙述简练完整，报告层次分明、图表规范、专业词汇准确、公式推导正确；（0-10分）</w:t>
            </w:r>
          </w:p>
          <w:p>
            <w:pPr>
              <w:spacing w:line="360" w:lineRule="auto"/>
              <w:jc w:val="left"/>
              <w:rPr>
                <w:rFonts w:eastAsia="仿宋_GB2312"/>
                <w:kern w:val="0"/>
                <w:sz w:val="24"/>
              </w:rPr>
            </w:pPr>
            <w:r>
              <w:rPr>
                <w:rFonts w:eastAsia="仿宋_GB2312"/>
                <w:kern w:val="0"/>
                <w:sz w:val="24"/>
              </w:rPr>
              <w:t>（6）报告字数不少于1000字，不超过20000字。（0-5分）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Pr>
          <w:p>
            <w:pPr>
              <w:spacing w:line="360" w:lineRule="auto"/>
              <w:jc w:val="center"/>
              <w:rPr>
                <w:rFonts w:eastAsia="仿宋_GB2312"/>
                <w:kern w:val="0"/>
                <w:sz w:val="24"/>
              </w:rPr>
            </w:pPr>
            <w:r>
              <w:rPr>
                <w:rFonts w:eastAsia="仿宋_GB2312"/>
                <w:kern w:val="0"/>
                <w:sz w:val="24"/>
              </w:rPr>
              <w:t>程序化交易实现</w:t>
            </w:r>
          </w:p>
          <w:p>
            <w:pPr>
              <w:spacing w:line="360" w:lineRule="auto"/>
              <w:jc w:val="center"/>
              <w:rPr>
                <w:rFonts w:eastAsia="仿宋_GB2312"/>
                <w:kern w:val="0"/>
                <w:sz w:val="24"/>
              </w:rPr>
            </w:pPr>
            <w:r>
              <w:rPr>
                <w:rFonts w:eastAsia="仿宋_GB2312"/>
                <w:kern w:val="0"/>
                <w:sz w:val="24"/>
              </w:rPr>
              <w:t>10分</w:t>
            </w:r>
          </w:p>
        </w:tc>
        <w:tc>
          <w:tcPr>
            <w:tcW w:w="6012" w:type="dxa"/>
          </w:tcPr>
          <w:p>
            <w:pPr>
              <w:spacing w:line="360" w:lineRule="auto"/>
              <w:jc w:val="left"/>
              <w:rPr>
                <w:rFonts w:eastAsia="仿宋_GB2312"/>
                <w:kern w:val="0"/>
                <w:sz w:val="24"/>
              </w:rPr>
            </w:pPr>
            <w:r>
              <w:rPr>
                <w:rFonts w:eastAsia="仿宋_GB2312"/>
                <w:kern w:val="0"/>
                <w:sz w:val="24"/>
              </w:rPr>
              <w:t>量化策略能用程序化交易实现，并且结果一致。（0-10分）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388" w:type="dxa"/>
            <w:gridSpan w:val="2"/>
            <w:vAlign w:val="center"/>
          </w:tcPr>
          <w:p>
            <w:pPr>
              <w:spacing w:line="360" w:lineRule="auto"/>
              <w:jc w:val="center"/>
              <w:rPr>
                <w:rFonts w:eastAsia="仿宋_GB2312"/>
                <w:kern w:val="0"/>
                <w:sz w:val="24"/>
              </w:rPr>
            </w:pPr>
            <w:r>
              <w:rPr>
                <w:rFonts w:eastAsia="仿宋_GB2312"/>
                <w:kern w:val="0"/>
                <w:sz w:val="24"/>
              </w:rPr>
              <w:t>总分100分</w:t>
            </w:r>
          </w:p>
        </w:tc>
      </w:tr>
    </w:tbl>
    <w:p>
      <w:pPr>
        <w:snapToGrid w:val="0"/>
        <w:spacing w:line="360" w:lineRule="auto"/>
        <w:ind w:firstLine="480" w:firstLineChars="200"/>
        <w:rPr>
          <w:rFonts w:eastAsia="仿宋_GB2312"/>
          <w:bCs/>
          <w:sz w:val="24"/>
        </w:rPr>
      </w:pPr>
      <w:r>
        <w:rPr>
          <w:rFonts w:eastAsia="仿宋_GB2312"/>
          <w:bCs/>
          <w:sz w:val="24"/>
        </w:rPr>
        <w:t>参赛队伍的投资报告成绩按照以下公式计算：</w:t>
      </w:r>
    </w:p>
    <w:p>
      <w:pPr>
        <w:snapToGrid w:val="0"/>
        <w:spacing w:line="360" w:lineRule="auto"/>
        <w:ind w:firstLine="480" w:firstLineChars="200"/>
        <w:rPr>
          <w:rFonts w:eastAsia="仿宋_GB2312"/>
          <w:bCs/>
          <w:sz w:val="24"/>
        </w:rPr>
      </w:pPr>
      <w:r>
        <w:rPr>
          <w:rFonts w:eastAsia="仿宋_GB2312"/>
          <w:bCs/>
          <w:sz w:val="24"/>
        </w:rPr>
        <w:t>最终报告成绩＝本队报告成绩×（全体参赛队伍报告平均成绩／所在专家评分组报告平均成绩）</w:t>
      </w:r>
    </w:p>
    <w:p>
      <w:pPr>
        <w:snapToGrid w:val="0"/>
        <w:spacing w:line="360" w:lineRule="auto"/>
        <w:ind w:firstLine="480" w:firstLineChars="200"/>
        <w:rPr>
          <w:rFonts w:eastAsia="仿宋_GB2312"/>
          <w:bCs/>
          <w:sz w:val="24"/>
        </w:rPr>
      </w:pPr>
    </w:p>
    <w:p>
      <w:pPr>
        <w:numPr>
          <w:ilvl w:val="0"/>
          <w:numId w:val="1"/>
        </w:numPr>
        <w:spacing w:line="360" w:lineRule="auto"/>
        <w:ind w:left="1" w:firstLine="569" w:firstLineChars="236"/>
        <w:rPr>
          <w:rFonts w:eastAsia="仿宋_GB2312"/>
          <w:b/>
          <w:color w:val="000000"/>
          <w:sz w:val="24"/>
        </w:rPr>
      </w:pPr>
      <w:r>
        <w:rPr>
          <w:rFonts w:eastAsia="仿宋_GB2312"/>
          <w:b/>
          <w:bCs/>
          <w:sz w:val="24"/>
        </w:rPr>
        <w:t>投资操作实测报告与复赛报告一致性评分以及</w:t>
      </w:r>
      <w:r>
        <w:rPr>
          <w:rFonts w:eastAsia="仿宋_GB2312"/>
          <w:b/>
          <w:color w:val="000000"/>
          <w:sz w:val="24"/>
        </w:rPr>
        <w:t>量化交易实测分析报告与复赛报告一致性评分细则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Pr>
          <w:p>
            <w:pPr>
              <w:spacing w:line="360" w:lineRule="auto"/>
              <w:jc w:val="center"/>
              <w:rPr>
                <w:rFonts w:eastAsia="仿宋_GB2312"/>
                <w:kern w:val="0"/>
                <w:sz w:val="24"/>
              </w:rPr>
            </w:pPr>
            <w:r>
              <w:rPr>
                <w:rFonts w:eastAsia="仿宋_GB2312"/>
                <w:kern w:val="0"/>
                <w:sz w:val="24"/>
              </w:rPr>
              <w:t>项  目</w:t>
            </w:r>
          </w:p>
        </w:tc>
        <w:tc>
          <w:tcPr>
            <w:tcW w:w="6012" w:type="dxa"/>
          </w:tcPr>
          <w:p>
            <w:pPr>
              <w:spacing w:line="360" w:lineRule="auto"/>
              <w:jc w:val="center"/>
              <w:rPr>
                <w:rFonts w:eastAsia="仿宋_GB2312"/>
                <w:kern w:val="0"/>
                <w:sz w:val="24"/>
              </w:rPr>
            </w:pPr>
            <w:r>
              <w:rPr>
                <w:rFonts w:eastAsia="仿宋_GB2312"/>
                <w:kern w:val="0"/>
                <w:sz w:val="24"/>
              </w:rPr>
              <w:t>报告评分要素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Align w:val="center"/>
          </w:tcPr>
          <w:p>
            <w:pPr>
              <w:spacing w:line="360" w:lineRule="auto"/>
              <w:jc w:val="center"/>
              <w:rPr>
                <w:rFonts w:eastAsia="仿宋_GB2312"/>
                <w:kern w:val="0"/>
                <w:sz w:val="24"/>
              </w:rPr>
            </w:pPr>
            <w:r>
              <w:rPr>
                <w:rFonts w:eastAsia="仿宋_GB2312"/>
                <w:kern w:val="0"/>
                <w:sz w:val="24"/>
              </w:rPr>
              <w:t>实测与报告策略的一致性100分</w:t>
            </w:r>
          </w:p>
        </w:tc>
        <w:tc>
          <w:tcPr>
            <w:tcW w:w="6012" w:type="dxa"/>
          </w:tcPr>
          <w:p>
            <w:pPr>
              <w:spacing w:line="360" w:lineRule="auto"/>
              <w:jc w:val="left"/>
              <w:rPr>
                <w:rFonts w:eastAsia="仿宋_GB2312"/>
                <w:kern w:val="0"/>
                <w:sz w:val="24"/>
              </w:rPr>
            </w:pPr>
            <w:r>
              <w:rPr>
                <w:rFonts w:eastAsia="仿宋_GB2312"/>
                <w:kern w:val="0"/>
                <w:sz w:val="24"/>
              </w:rPr>
              <w:t>实测交易记录是否完全体现投资报告阐述的投资策略（0-100分）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388" w:type="dxa"/>
            <w:gridSpan w:val="2"/>
            <w:vAlign w:val="center"/>
          </w:tcPr>
          <w:p>
            <w:pPr>
              <w:spacing w:line="360" w:lineRule="auto"/>
              <w:jc w:val="center"/>
              <w:rPr>
                <w:rFonts w:eastAsia="仿宋_GB2312"/>
                <w:kern w:val="0"/>
                <w:sz w:val="24"/>
              </w:rPr>
            </w:pPr>
            <w:r>
              <w:rPr>
                <w:rFonts w:eastAsia="仿宋_GB2312"/>
                <w:kern w:val="0"/>
                <w:sz w:val="24"/>
              </w:rPr>
              <w:t>总分100分</w:t>
            </w:r>
          </w:p>
        </w:tc>
      </w:tr>
    </w:tbl>
    <w:p>
      <w:pPr>
        <w:snapToGrid w:val="0"/>
        <w:spacing w:line="360" w:lineRule="auto"/>
        <w:ind w:firstLine="480" w:firstLineChars="200"/>
        <w:rPr>
          <w:rFonts w:eastAsia="仿宋_GB2312"/>
          <w:bCs/>
          <w:sz w:val="24"/>
        </w:rPr>
      </w:pPr>
      <w:r>
        <w:rPr>
          <w:rFonts w:eastAsia="仿宋_GB2312"/>
          <w:bCs/>
          <w:sz w:val="24"/>
        </w:rPr>
        <w:t>参赛队伍的一致性评分成绩按照以下公式计算：</w:t>
      </w:r>
    </w:p>
    <w:p>
      <w:pPr>
        <w:snapToGrid w:val="0"/>
        <w:spacing w:line="360" w:lineRule="auto"/>
        <w:ind w:firstLine="480" w:firstLineChars="200"/>
        <w:rPr>
          <w:rFonts w:eastAsia="仿宋_GB2312"/>
          <w:bCs/>
          <w:sz w:val="24"/>
        </w:rPr>
      </w:pPr>
      <w:r>
        <w:rPr>
          <w:rFonts w:eastAsia="仿宋_GB2312"/>
          <w:bCs/>
          <w:sz w:val="24"/>
        </w:rPr>
        <w:t>一致性评分成绩＝本队一致性成绩×（全体参赛一致性平均成绩／所在专家评分组一致性平均成绩）</w:t>
      </w:r>
    </w:p>
    <w:p>
      <w:pPr>
        <w:snapToGrid w:val="0"/>
        <w:spacing w:line="360" w:lineRule="auto"/>
        <w:ind w:firstLine="480" w:firstLineChars="200"/>
        <w:rPr>
          <w:rFonts w:eastAsia="仿宋_GB2312"/>
          <w:bCs/>
          <w:sz w:val="24"/>
        </w:rPr>
      </w:pPr>
      <w:r>
        <w:rPr>
          <w:rFonts w:eastAsia="仿宋_GB2312"/>
          <w:bCs/>
          <w:sz w:val="24"/>
        </w:rPr>
        <w:t>注：如果决赛竞赛期间采用的实际投资策略和最终投资报告中的投资策略出现较大不符，投资操作实测报告与复赛报告一致性评分计0分。如果量化实测中采用的实际策略和量化交易报告中的策略较大不符，</w:t>
      </w:r>
      <w:r>
        <w:rPr>
          <w:rFonts w:eastAsia="仿宋_GB2312"/>
          <w:kern w:val="0"/>
          <w:sz w:val="24"/>
        </w:rPr>
        <w:t>最终报告成绩</w:t>
      </w:r>
      <w:r>
        <w:rPr>
          <w:rFonts w:eastAsia="仿宋_GB2312"/>
          <w:bCs/>
          <w:sz w:val="24"/>
        </w:rPr>
        <w:t>计0分。</w:t>
      </w:r>
    </w:p>
    <w:p>
      <w:pPr>
        <w:snapToGrid w:val="0"/>
        <w:spacing w:line="360" w:lineRule="auto"/>
        <w:ind w:firstLine="480" w:firstLineChars="200"/>
        <w:rPr>
          <w:rFonts w:eastAsia="仿宋_GB2312"/>
          <w:bCs/>
          <w:sz w:val="24"/>
        </w:rPr>
      </w:pPr>
    </w:p>
    <w:p>
      <w:pPr>
        <w:numPr>
          <w:ilvl w:val="0"/>
          <w:numId w:val="1"/>
        </w:numPr>
        <w:spacing w:line="360" w:lineRule="auto"/>
        <w:ind w:left="1" w:firstLine="569" w:firstLineChars="236"/>
        <w:rPr>
          <w:rFonts w:eastAsia="仿宋_GB2312"/>
          <w:b/>
          <w:kern w:val="0"/>
          <w:sz w:val="24"/>
        </w:rPr>
      </w:pPr>
      <w:r>
        <w:rPr>
          <w:rFonts w:eastAsia="仿宋_GB2312"/>
          <w:b/>
          <w:kern w:val="0"/>
          <w:sz w:val="24"/>
        </w:rPr>
        <w:t>现场答辩评分细则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6" w:type="dxa"/>
          </w:tcPr>
          <w:p>
            <w:pPr>
              <w:spacing w:line="360" w:lineRule="auto"/>
              <w:jc w:val="center"/>
              <w:rPr>
                <w:rFonts w:eastAsia="仿宋_GB2312"/>
                <w:sz w:val="24"/>
              </w:rPr>
            </w:pPr>
            <w:r>
              <w:rPr>
                <w:rFonts w:eastAsia="仿宋_GB2312"/>
                <w:sz w:val="24"/>
              </w:rPr>
              <w:t>项  目</w:t>
            </w:r>
          </w:p>
        </w:tc>
        <w:tc>
          <w:tcPr>
            <w:tcW w:w="5821" w:type="dxa"/>
            <w:vAlign w:val="center"/>
          </w:tcPr>
          <w:p>
            <w:pPr>
              <w:spacing w:line="360" w:lineRule="auto"/>
              <w:jc w:val="center"/>
              <w:rPr>
                <w:rFonts w:eastAsia="仿宋_GB2312"/>
                <w:sz w:val="24"/>
              </w:rPr>
            </w:pPr>
            <w:r>
              <w:rPr>
                <w:rFonts w:eastAsia="仿宋_GB2312"/>
                <w:sz w:val="24"/>
              </w:rPr>
              <w:t>评分要素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166" w:type="dxa"/>
            <w:vAlign w:val="center"/>
          </w:tcPr>
          <w:p>
            <w:pPr>
              <w:spacing w:line="360" w:lineRule="auto"/>
              <w:jc w:val="center"/>
              <w:rPr>
                <w:rFonts w:eastAsia="仿宋_GB2312"/>
                <w:sz w:val="24"/>
              </w:rPr>
            </w:pPr>
            <w:r>
              <w:rPr>
                <w:rFonts w:eastAsia="仿宋_GB2312"/>
                <w:sz w:val="24"/>
              </w:rPr>
              <w:t>投资策略40分</w:t>
            </w:r>
          </w:p>
        </w:tc>
        <w:tc>
          <w:tcPr>
            <w:tcW w:w="5821" w:type="dxa"/>
            <w:vAlign w:val="center"/>
          </w:tcPr>
          <w:p>
            <w:pPr>
              <w:spacing w:line="360" w:lineRule="auto"/>
              <w:rPr>
                <w:rFonts w:eastAsia="仿宋_GB2312"/>
                <w:sz w:val="24"/>
              </w:rPr>
            </w:pPr>
            <w:r>
              <w:rPr>
                <w:rFonts w:eastAsia="仿宋_GB2312"/>
                <w:sz w:val="24"/>
              </w:rPr>
              <w:t>投资策略和投资思路阐述。（0-40分）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66" w:type="dxa"/>
            <w:vAlign w:val="center"/>
          </w:tcPr>
          <w:p>
            <w:pPr>
              <w:spacing w:line="360" w:lineRule="auto"/>
              <w:jc w:val="center"/>
              <w:rPr>
                <w:rFonts w:eastAsia="仿宋_GB2312"/>
                <w:sz w:val="24"/>
              </w:rPr>
            </w:pPr>
            <w:r>
              <w:rPr>
                <w:rFonts w:eastAsia="仿宋_GB2312"/>
                <w:sz w:val="24"/>
              </w:rPr>
              <w:t>PPT展示20分</w:t>
            </w:r>
          </w:p>
        </w:tc>
        <w:tc>
          <w:tcPr>
            <w:tcW w:w="5821" w:type="dxa"/>
            <w:vAlign w:val="center"/>
          </w:tcPr>
          <w:p>
            <w:pPr>
              <w:spacing w:line="360" w:lineRule="auto"/>
              <w:rPr>
                <w:rFonts w:eastAsia="仿宋_GB2312"/>
                <w:sz w:val="24"/>
              </w:rPr>
            </w:pPr>
            <w:r>
              <w:rPr>
                <w:rFonts w:eastAsia="仿宋_GB2312"/>
                <w:sz w:val="24"/>
              </w:rPr>
              <w:t>运用的幻灯片在讲述团队投资思路时，能否起到增添形象性，梳理逻辑性的作用。（0-20分）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166" w:type="dxa"/>
            <w:vAlign w:val="center"/>
          </w:tcPr>
          <w:p>
            <w:pPr>
              <w:spacing w:line="360" w:lineRule="auto"/>
              <w:jc w:val="center"/>
              <w:rPr>
                <w:rFonts w:eastAsia="仿宋_GB2312"/>
                <w:sz w:val="24"/>
              </w:rPr>
            </w:pPr>
            <w:r>
              <w:rPr>
                <w:rFonts w:eastAsia="仿宋_GB2312"/>
                <w:sz w:val="24"/>
              </w:rPr>
              <w:t>应答表现40分</w:t>
            </w:r>
          </w:p>
        </w:tc>
        <w:tc>
          <w:tcPr>
            <w:tcW w:w="5821" w:type="dxa"/>
            <w:vAlign w:val="center"/>
          </w:tcPr>
          <w:p>
            <w:pPr>
              <w:spacing w:line="360" w:lineRule="auto"/>
              <w:rPr>
                <w:rFonts w:eastAsia="仿宋_GB2312"/>
                <w:sz w:val="24"/>
              </w:rPr>
            </w:pPr>
            <w:r>
              <w:rPr>
                <w:rFonts w:eastAsia="仿宋_GB2312"/>
                <w:sz w:val="24"/>
              </w:rPr>
              <w:t>针对评委的提问和建议，应答内容是否清楚准确，应答表现是否沉着得当。（0-40分）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987" w:type="dxa"/>
            <w:gridSpan w:val="2"/>
            <w:vAlign w:val="center"/>
          </w:tcPr>
          <w:p>
            <w:pPr>
              <w:spacing w:line="360" w:lineRule="auto"/>
              <w:jc w:val="center"/>
              <w:rPr>
                <w:rFonts w:eastAsia="仿宋_GB2312"/>
                <w:sz w:val="24"/>
              </w:rPr>
            </w:pPr>
            <w:r>
              <w:rPr>
                <w:rFonts w:eastAsia="仿宋_GB2312"/>
                <w:sz w:val="24"/>
              </w:rPr>
              <w:t>总分100分</w:t>
            </w:r>
          </w:p>
        </w:tc>
      </w:tr>
    </w:tbl>
    <w:p>
      <w:pPr>
        <w:snapToGrid w:val="0"/>
        <w:spacing w:line="360" w:lineRule="auto"/>
        <w:ind w:firstLine="260" w:firstLineChars="200"/>
        <w:rPr>
          <w:rFonts w:eastAsia="仿宋_GB2312"/>
          <w:kern w:val="0"/>
          <w:sz w:val="13"/>
          <w:szCs w:val="13"/>
        </w:rPr>
      </w:pPr>
    </w:p>
    <w:p>
      <w:pPr>
        <w:snapToGrid w:val="0"/>
        <w:spacing w:line="360" w:lineRule="auto"/>
        <w:ind w:firstLine="480" w:firstLineChars="200"/>
        <w:rPr>
          <w:rFonts w:eastAsia="仿宋_GB2312"/>
          <w:kern w:val="0"/>
          <w:sz w:val="24"/>
        </w:rPr>
      </w:pPr>
      <w:r>
        <w:rPr>
          <w:rFonts w:eastAsia="仿宋_GB2312"/>
          <w:kern w:val="0"/>
          <w:sz w:val="24"/>
        </w:rPr>
        <w:t>决赛队伍参加决赛答辩时按照以下公式计算最终答辩成绩：</w:t>
      </w:r>
    </w:p>
    <w:p>
      <w:pPr>
        <w:snapToGrid w:val="0"/>
        <w:spacing w:line="360" w:lineRule="auto"/>
        <w:ind w:firstLine="480" w:firstLineChars="200"/>
        <w:rPr>
          <w:rFonts w:eastAsia="仿宋_GB2312"/>
          <w:kern w:val="0"/>
          <w:sz w:val="24"/>
        </w:rPr>
      </w:pPr>
      <w:r>
        <w:rPr>
          <w:rFonts w:eastAsia="仿宋_GB2312"/>
          <w:kern w:val="0"/>
          <w:sz w:val="24"/>
        </w:rPr>
        <w:t>最终答辩成绩＝本队答辩成绩×（全体参赛队伍答辩平均成绩／所在答辩组平均成绩）</w:t>
      </w:r>
    </w:p>
    <w:p>
      <w:pPr>
        <w:snapToGrid w:val="0"/>
        <w:spacing w:line="360" w:lineRule="auto"/>
        <w:ind w:firstLine="480" w:firstLineChars="200"/>
        <w:rPr>
          <w:rFonts w:eastAsia="仿宋_GB2312"/>
          <w:kern w:val="0"/>
          <w:sz w:val="24"/>
        </w:rPr>
      </w:pPr>
    </w:p>
    <w:p>
      <w:pPr>
        <w:snapToGrid w:val="0"/>
        <w:spacing w:line="360" w:lineRule="auto"/>
        <w:ind w:firstLine="480" w:firstLineChars="200"/>
        <w:rPr>
          <w:rFonts w:eastAsia="仿宋_GB2312"/>
          <w:kern w:val="0"/>
          <w:sz w:val="24"/>
        </w:rPr>
      </w:pPr>
    </w:p>
    <w:p>
      <w:pPr>
        <w:numPr>
          <w:ilvl w:val="0"/>
          <w:numId w:val="1"/>
        </w:numPr>
        <w:spacing w:line="360" w:lineRule="auto"/>
        <w:ind w:left="1" w:firstLine="569" w:firstLineChars="236"/>
        <w:rPr>
          <w:rFonts w:eastAsia="仿宋_GB2312"/>
          <w:b/>
          <w:kern w:val="0"/>
          <w:sz w:val="24"/>
        </w:rPr>
      </w:pPr>
      <w:r>
        <w:rPr>
          <w:rFonts w:eastAsia="仿宋_GB2312"/>
          <w:b/>
          <w:kern w:val="0"/>
          <w:sz w:val="24"/>
        </w:rPr>
        <w:t>团队赛最终得分</w:t>
      </w:r>
    </w:p>
    <w:p>
      <w:pPr>
        <w:numPr>
          <w:ilvl w:val="0"/>
          <w:numId w:val="2"/>
        </w:numPr>
        <w:spacing w:line="360" w:lineRule="auto"/>
        <w:ind w:firstLine="566" w:firstLineChars="236"/>
        <w:rPr>
          <w:rFonts w:eastAsia="仿宋_GB2312"/>
          <w:kern w:val="0"/>
          <w:sz w:val="24"/>
        </w:rPr>
      </w:pPr>
      <w:r>
        <w:rPr>
          <w:rFonts w:eastAsia="仿宋_GB2312"/>
          <w:kern w:val="0"/>
          <w:sz w:val="24"/>
        </w:rPr>
        <w:t>投资策略组最终得分=投资报告得分×40%+实测成绩得分×20%+</w:t>
      </w:r>
      <w:r>
        <w:rPr>
          <w:rFonts w:eastAsia="仿宋_GB2312"/>
          <w:color w:val="000000"/>
          <w:sz w:val="24"/>
        </w:rPr>
        <w:t>投资操作实测报告与复赛报告一致性评分</w:t>
      </w:r>
      <w:r>
        <w:rPr>
          <w:rFonts w:eastAsia="仿宋_GB2312"/>
          <w:kern w:val="0"/>
          <w:sz w:val="24"/>
        </w:rPr>
        <w:t>×10%+现场答辩得分×30%</w:t>
      </w:r>
    </w:p>
    <w:p>
      <w:pPr>
        <w:numPr>
          <w:ilvl w:val="0"/>
          <w:numId w:val="2"/>
        </w:numPr>
        <w:spacing w:line="360" w:lineRule="auto"/>
        <w:ind w:firstLine="566" w:firstLineChars="236"/>
        <w:rPr>
          <w:rFonts w:eastAsia="仿宋_GB2312"/>
          <w:kern w:val="0"/>
          <w:sz w:val="24"/>
        </w:rPr>
      </w:pPr>
      <w:r>
        <w:rPr>
          <w:rFonts w:eastAsia="仿宋_GB2312"/>
          <w:kern w:val="0"/>
          <w:sz w:val="24"/>
        </w:rPr>
        <w:t>量化交易组最终得分=量化报告得分×40%+实测成绩得分×20%+</w:t>
      </w:r>
      <w:r>
        <w:rPr>
          <w:rFonts w:eastAsia="仿宋_GB2312"/>
          <w:color w:val="000000"/>
          <w:sz w:val="24"/>
        </w:rPr>
        <w:t>量化交易实测报告与复赛报告一致性评分</w:t>
      </w:r>
      <w:r>
        <w:rPr>
          <w:rFonts w:eastAsia="仿宋_GB2312"/>
          <w:kern w:val="0"/>
          <w:sz w:val="24"/>
        </w:rPr>
        <w:t>×10%+现场答辩得分×30%</w:t>
      </w:r>
    </w:p>
    <w:p>
      <w:pPr>
        <w:snapToGrid w:val="0"/>
        <w:spacing w:line="360" w:lineRule="auto"/>
        <w:jc w:val="left"/>
        <w:rPr>
          <w:rFonts w:eastAsia="仿宋_GB2312"/>
          <w:sz w:val="24"/>
        </w:rPr>
      </w:pPr>
    </w:p>
    <w:p>
      <w:pPr>
        <w:snapToGrid w:val="0"/>
        <w:spacing w:line="360" w:lineRule="auto"/>
        <w:jc w:val="left"/>
        <w:rPr>
          <w:rFonts w:eastAsia="仿宋_GB2312"/>
          <w:sz w:val="24"/>
        </w:rPr>
      </w:pPr>
    </w:p>
    <w:p>
      <w:pPr>
        <w:spacing w:line="360" w:lineRule="auto"/>
        <w:jc w:val="right"/>
        <w:rPr>
          <w:rFonts w:eastAsia="仿宋_GB2312"/>
          <w:b/>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67831"/>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08C2A"/>
    <w:multiLevelType w:val="singleLevel"/>
    <w:tmpl w:val="57308C2A"/>
    <w:lvl w:ilvl="0" w:tentative="0">
      <w:start w:val="1"/>
      <w:numFmt w:val="decimal"/>
      <w:suff w:val="nothing"/>
      <w:lvlText w:val="（%1）"/>
      <w:lvlJc w:val="left"/>
    </w:lvl>
  </w:abstractNum>
  <w:abstractNum w:abstractNumId="1">
    <w:nsid w:val="57384C13"/>
    <w:multiLevelType w:val="singleLevel"/>
    <w:tmpl w:val="57384C13"/>
    <w:lvl w:ilvl="0" w:tentative="0">
      <w:start w:val="1"/>
      <w:numFmt w:val="decimal"/>
      <w:suff w:val="nothing"/>
      <w:lvlText w:val="%1、"/>
      <w:lvlJc w:val="left"/>
      <w:rPr>
        <w:rFonts w:ascii="宋体" w:hAnsi="宋体" w:eastAsia="宋体" w:cs="仿宋"/>
        <w:i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5EEE"/>
    <w:rsid w:val="00007125"/>
    <w:rsid w:val="0002121B"/>
    <w:rsid w:val="000352D2"/>
    <w:rsid w:val="00041B98"/>
    <w:rsid w:val="0005749C"/>
    <w:rsid w:val="00062DC1"/>
    <w:rsid w:val="00071F48"/>
    <w:rsid w:val="00083061"/>
    <w:rsid w:val="00093E8F"/>
    <w:rsid w:val="0009476E"/>
    <w:rsid w:val="000D68A9"/>
    <w:rsid w:val="00107E01"/>
    <w:rsid w:val="001228A1"/>
    <w:rsid w:val="00165D52"/>
    <w:rsid w:val="001701A1"/>
    <w:rsid w:val="00170C62"/>
    <w:rsid w:val="00185EEE"/>
    <w:rsid w:val="00197D4F"/>
    <w:rsid w:val="001A6545"/>
    <w:rsid w:val="001C3873"/>
    <w:rsid w:val="001C3AA7"/>
    <w:rsid w:val="001D7DC4"/>
    <w:rsid w:val="001E0C0B"/>
    <w:rsid w:val="001E7071"/>
    <w:rsid w:val="001F5125"/>
    <w:rsid w:val="002348CB"/>
    <w:rsid w:val="00247760"/>
    <w:rsid w:val="00273AE5"/>
    <w:rsid w:val="00284E4B"/>
    <w:rsid w:val="002A03E8"/>
    <w:rsid w:val="002A648E"/>
    <w:rsid w:val="002B318D"/>
    <w:rsid w:val="002C2E78"/>
    <w:rsid w:val="002E029B"/>
    <w:rsid w:val="002F1134"/>
    <w:rsid w:val="002F3ADC"/>
    <w:rsid w:val="002F4F2A"/>
    <w:rsid w:val="00304D58"/>
    <w:rsid w:val="00307E59"/>
    <w:rsid w:val="00311B3B"/>
    <w:rsid w:val="00335638"/>
    <w:rsid w:val="00357814"/>
    <w:rsid w:val="00384867"/>
    <w:rsid w:val="003946D5"/>
    <w:rsid w:val="00397680"/>
    <w:rsid w:val="003A3E1A"/>
    <w:rsid w:val="003D67BC"/>
    <w:rsid w:val="003E510C"/>
    <w:rsid w:val="003E6050"/>
    <w:rsid w:val="003E68DA"/>
    <w:rsid w:val="00402226"/>
    <w:rsid w:val="004077B7"/>
    <w:rsid w:val="00425568"/>
    <w:rsid w:val="00454653"/>
    <w:rsid w:val="004715E6"/>
    <w:rsid w:val="00485CBA"/>
    <w:rsid w:val="004878D9"/>
    <w:rsid w:val="0049114E"/>
    <w:rsid w:val="00495B51"/>
    <w:rsid w:val="004A02EE"/>
    <w:rsid w:val="004B1E71"/>
    <w:rsid w:val="004F4F34"/>
    <w:rsid w:val="00504FF2"/>
    <w:rsid w:val="0051247B"/>
    <w:rsid w:val="005211E3"/>
    <w:rsid w:val="00534A28"/>
    <w:rsid w:val="00541D8D"/>
    <w:rsid w:val="00551352"/>
    <w:rsid w:val="00557F38"/>
    <w:rsid w:val="00565E72"/>
    <w:rsid w:val="005B1231"/>
    <w:rsid w:val="005B619E"/>
    <w:rsid w:val="005C66EC"/>
    <w:rsid w:val="005D253B"/>
    <w:rsid w:val="005E0818"/>
    <w:rsid w:val="005E2D98"/>
    <w:rsid w:val="005E41FA"/>
    <w:rsid w:val="005E735D"/>
    <w:rsid w:val="005F438A"/>
    <w:rsid w:val="006019D3"/>
    <w:rsid w:val="006138A0"/>
    <w:rsid w:val="00622C79"/>
    <w:rsid w:val="006246F0"/>
    <w:rsid w:val="0064742A"/>
    <w:rsid w:val="00657ECA"/>
    <w:rsid w:val="00671B0A"/>
    <w:rsid w:val="00677A9C"/>
    <w:rsid w:val="00683861"/>
    <w:rsid w:val="00683C36"/>
    <w:rsid w:val="006877A3"/>
    <w:rsid w:val="00691849"/>
    <w:rsid w:val="006B5AEC"/>
    <w:rsid w:val="006E3214"/>
    <w:rsid w:val="006E365E"/>
    <w:rsid w:val="006F0695"/>
    <w:rsid w:val="006F70DB"/>
    <w:rsid w:val="007079B2"/>
    <w:rsid w:val="0071032E"/>
    <w:rsid w:val="007135D2"/>
    <w:rsid w:val="00714E39"/>
    <w:rsid w:val="00751166"/>
    <w:rsid w:val="00757113"/>
    <w:rsid w:val="007663D0"/>
    <w:rsid w:val="007B44FE"/>
    <w:rsid w:val="007C5C72"/>
    <w:rsid w:val="007F51B3"/>
    <w:rsid w:val="00804213"/>
    <w:rsid w:val="00813182"/>
    <w:rsid w:val="00820DAB"/>
    <w:rsid w:val="00823583"/>
    <w:rsid w:val="0083451B"/>
    <w:rsid w:val="008346BF"/>
    <w:rsid w:val="008561E0"/>
    <w:rsid w:val="0086644E"/>
    <w:rsid w:val="008A0642"/>
    <w:rsid w:val="008A21D4"/>
    <w:rsid w:val="008B0C5F"/>
    <w:rsid w:val="008D001F"/>
    <w:rsid w:val="008E14E1"/>
    <w:rsid w:val="008E52C2"/>
    <w:rsid w:val="008E7C20"/>
    <w:rsid w:val="0090015B"/>
    <w:rsid w:val="009035B6"/>
    <w:rsid w:val="009074AB"/>
    <w:rsid w:val="009150DD"/>
    <w:rsid w:val="00916490"/>
    <w:rsid w:val="009268FE"/>
    <w:rsid w:val="009342E6"/>
    <w:rsid w:val="009405F6"/>
    <w:rsid w:val="00956230"/>
    <w:rsid w:val="00960B02"/>
    <w:rsid w:val="00967A7A"/>
    <w:rsid w:val="00986D15"/>
    <w:rsid w:val="009A4915"/>
    <w:rsid w:val="009A7D7A"/>
    <w:rsid w:val="009C22A4"/>
    <w:rsid w:val="009D00E8"/>
    <w:rsid w:val="009D14EE"/>
    <w:rsid w:val="009D62BA"/>
    <w:rsid w:val="009D76E7"/>
    <w:rsid w:val="009F18CB"/>
    <w:rsid w:val="00A05CA7"/>
    <w:rsid w:val="00A57C40"/>
    <w:rsid w:val="00A62891"/>
    <w:rsid w:val="00A659D5"/>
    <w:rsid w:val="00A6629A"/>
    <w:rsid w:val="00A66A61"/>
    <w:rsid w:val="00A66A9D"/>
    <w:rsid w:val="00A67CBC"/>
    <w:rsid w:val="00A769D0"/>
    <w:rsid w:val="00AB5135"/>
    <w:rsid w:val="00AC10F7"/>
    <w:rsid w:val="00AD7029"/>
    <w:rsid w:val="00B21F43"/>
    <w:rsid w:val="00B505BB"/>
    <w:rsid w:val="00B51304"/>
    <w:rsid w:val="00BB4821"/>
    <w:rsid w:val="00BD2FF1"/>
    <w:rsid w:val="00C045D2"/>
    <w:rsid w:val="00C04F91"/>
    <w:rsid w:val="00C07726"/>
    <w:rsid w:val="00C313FD"/>
    <w:rsid w:val="00C32C98"/>
    <w:rsid w:val="00C34E05"/>
    <w:rsid w:val="00C36623"/>
    <w:rsid w:val="00C51063"/>
    <w:rsid w:val="00CA5A20"/>
    <w:rsid w:val="00CB3FCD"/>
    <w:rsid w:val="00CB4C73"/>
    <w:rsid w:val="00CD311A"/>
    <w:rsid w:val="00CD6230"/>
    <w:rsid w:val="00CD645D"/>
    <w:rsid w:val="00CE2124"/>
    <w:rsid w:val="00D041B6"/>
    <w:rsid w:val="00D25697"/>
    <w:rsid w:val="00D2738D"/>
    <w:rsid w:val="00D303C1"/>
    <w:rsid w:val="00D64CDA"/>
    <w:rsid w:val="00D8594E"/>
    <w:rsid w:val="00DB6C69"/>
    <w:rsid w:val="00DB76DE"/>
    <w:rsid w:val="00DC66AB"/>
    <w:rsid w:val="00DD5B28"/>
    <w:rsid w:val="00DD6AC8"/>
    <w:rsid w:val="00DE0264"/>
    <w:rsid w:val="00DF54D9"/>
    <w:rsid w:val="00E04EF4"/>
    <w:rsid w:val="00E06AAE"/>
    <w:rsid w:val="00E34F01"/>
    <w:rsid w:val="00E53202"/>
    <w:rsid w:val="00E6663F"/>
    <w:rsid w:val="00E82D3F"/>
    <w:rsid w:val="00E84FE9"/>
    <w:rsid w:val="00E8731A"/>
    <w:rsid w:val="00E92AD4"/>
    <w:rsid w:val="00EC1BAA"/>
    <w:rsid w:val="00EF40FF"/>
    <w:rsid w:val="00EF7568"/>
    <w:rsid w:val="00F074B0"/>
    <w:rsid w:val="00F14EDF"/>
    <w:rsid w:val="00F308EB"/>
    <w:rsid w:val="00F735AA"/>
    <w:rsid w:val="00FA1BED"/>
    <w:rsid w:val="00FB5764"/>
    <w:rsid w:val="00FD0FCC"/>
    <w:rsid w:val="00FE326E"/>
    <w:rsid w:val="00FF5E1F"/>
    <w:rsid w:val="00FF6B87"/>
    <w:rsid w:val="00FF75D7"/>
    <w:rsid w:val="31877C23"/>
    <w:rsid w:val="73543F3D"/>
    <w:rsid w:val="7751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日期 Char"/>
    <w:basedOn w:val="9"/>
    <w:link w:val="2"/>
    <w:semiHidden/>
    <w:uiPriority w:val="99"/>
    <w:rPr>
      <w:rFonts w:ascii="Times New Roman" w:hAnsi="Times New Roman" w:eastAsia="宋体" w:cs="Times New Roman"/>
      <w:szCs w:val="24"/>
    </w:rPr>
  </w:style>
  <w:style w:type="character" w:customStyle="1" w:styleId="12">
    <w:name w:val="页眉 Char"/>
    <w:basedOn w:val="9"/>
    <w:link w:val="5"/>
    <w:uiPriority w:val="99"/>
    <w:rPr>
      <w:rFonts w:ascii="Times New Roman" w:hAnsi="Times New Roman" w:eastAsia="宋体" w:cs="Times New Roman"/>
      <w:sz w:val="18"/>
      <w:szCs w:val="18"/>
    </w:rPr>
  </w:style>
  <w:style w:type="character" w:customStyle="1" w:styleId="13">
    <w:name w:val="页脚 Char"/>
    <w:basedOn w:val="9"/>
    <w:link w:val="4"/>
    <w:uiPriority w:val="99"/>
    <w:rPr>
      <w:rFonts w:ascii="Times New Roman" w:hAnsi="Times New Roman" w:eastAsia="宋体" w:cs="Times New Roman"/>
      <w:sz w:val="18"/>
      <w:szCs w:val="18"/>
    </w:rPr>
  </w:style>
  <w:style w:type="character" w:customStyle="1" w:styleId="14">
    <w:name w:val="批注框文本 Char"/>
    <w:basedOn w:val="9"/>
    <w:link w:val="3"/>
    <w:semiHidden/>
    <w:uiPriority w:val="99"/>
    <w:rPr>
      <w:rFonts w:ascii="Times New Roman" w:hAnsi="Times New Roman" w:eastAsia="宋体" w:cs="Times New Roman"/>
      <w:sz w:val="18"/>
      <w:szCs w:val="18"/>
    </w:rPr>
  </w:style>
  <w:style w:type="character" w:styleId="1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4FA38-BBCC-4526-8184-E5390F3DA32B}">
  <ds:schemaRefs/>
</ds:datastoreItem>
</file>

<file path=docProps/app.xml><?xml version="1.0" encoding="utf-8"?>
<Properties xmlns="http://schemas.openxmlformats.org/officeDocument/2006/extended-properties" xmlns:vt="http://schemas.openxmlformats.org/officeDocument/2006/docPropsVTypes">
  <Template>Normal</Template>
  <Company>Zhejiang University of Finance and Economics</Company>
  <Pages>5</Pages>
  <Words>432</Words>
  <Characters>2469</Characters>
  <Lines>20</Lines>
  <Paragraphs>5</Paragraphs>
  <TotalTime>422</TotalTime>
  <ScaleCrop>false</ScaleCrop>
  <LinksUpToDate>false</LinksUpToDate>
  <CharactersWithSpaces>2896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2016-06-04T10:11:00Z</dcterms:created>
  <dc:creator>Jack Wang</dc:creator>
  <cp:lastModifiedBy>天宇爸爸～陶表益</cp:lastModifiedBy>
  <cp:lastPrinted>2017-03-28T04:19:00Z</cp:lastPrinted>
  <dcterms:modified xsi:type="dcterms:W3CDTF">2020-03-29T09:55:49Z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