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13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扩容提质强特色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实干融新促发展</w:t>
      </w:r>
    </w:p>
    <w:p w14:paraId="130A3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——工学院2025年工作总结</w:t>
      </w:r>
    </w:p>
    <w:p w14:paraId="3018F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7CCC6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2025年，在学院党政班子的坚强领导下，以产教融合为主线，在实干中积极作为，在发展中不断突破。</w:t>
      </w:r>
    </w:p>
    <w:p w14:paraId="73C52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一、党建思政绘蓝图，品牌成果受关注。</w:t>
      </w:r>
    </w:p>
    <w:p w14:paraId="38FD3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牢固树立“围绕发展抓党建、抓好党建促发展”的鲜明导向，创新构建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党建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“五航”体系图、“五网”路线图、“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作战图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。紧扣高质量发展主线，高标准研制《工学院“十五五”发展规划》。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站稳立德树人、培根铸魂、举旗定向的政治立场，以高效务实的会议部署推动各项工作落地见效，全年召开党政联席会10余次、支部党员大会70余次、教职工例会7次。</w:t>
      </w:r>
    </w:p>
    <w:p w14:paraId="0DF87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打造“T·匠行培育”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思政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工作品牌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做优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学院唯二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省级课程思政示范基层教学组织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举办课堂笔记大赛、悦动跳绳等系列特色学生活动40余场，</w:t>
      </w:r>
      <w:r>
        <w:rPr>
          <w:rFonts w:hint="eastAsia" w:ascii="仿宋_GB2312" w:hAnsi="黑体" w:eastAsia="仿宋_GB2312" w:cs="黑体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奏响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线上思政宣传主阵地</w:t>
      </w:r>
      <w:r>
        <w:rPr>
          <w:rFonts w:hint="eastAsia" w:ascii="仿宋_GB2312" w:hAnsi="黑体" w:eastAsia="仿宋_GB2312" w:cs="黑体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阵地“最强音”</w:t>
      </w:r>
      <w:r>
        <w:rPr>
          <w:rFonts w:hint="eastAsia" w:ascii="仿宋_GB2312" w:hAnsi="黑体" w:eastAsia="仿宋_GB2312" w:cs="黑体"/>
          <w:b w:val="0"/>
          <w:bCs w:val="0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“韧性工学”全年推文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 w:themeColor="text1"/>
          <w:sz w:val="32"/>
          <w:szCs w:val="32"/>
          <w:shd w:val="clear" w:color="auto" w:fill="FFFFFF"/>
          <w:lang w:eastAsia="zh"/>
          <w14:textFill>
            <w14:solidFill>
              <w14:schemeClr w14:val="tx1"/>
            </w14:solidFill>
          </w14:textFill>
        </w:rPr>
        <w:t>230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篇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全年开展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“小青砖”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志愿服务活动140余场，获省“平安共富 你我同行”高校反邪教暑期社会实践活动一等奖，相关工作获浙江法制报等媒体报道。</w:t>
      </w:r>
    </w:p>
    <w:p w14:paraId="65ED1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二、人才培养激活力，优秀学子获盛誉。</w:t>
      </w:r>
    </w:p>
    <w:p w14:paraId="78983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坚持五育并举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深耕工程人才优培工程。现有在校生2100余人；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25届毕业生就业率达93.9%，考研率首次突破10%创新高；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评选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“工学之星”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27人，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获2025年省普通高校“</w:t>
      </w:r>
      <w:r>
        <w:rPr>
          <w:rFonts w:hint="eastAsia" w:ascii="仿宋_GB2312" w:hAnsi="方正楷体_GB2312" w:eastAsia="仿宋_GB2312" w:cs="方正楷体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优秀学生资助宣传大使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”称号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1人；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工学一队获团体总分第一、二队获第三，2名同学打破纪录等继续领跑田径运动会；新生篮球赛、足球赛实现六连冠，学生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排球赛荣获亚军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方正仿宋_GB2312" w:eastAsia="仿宋_GB2312" w:cs="方正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校友群体星光闪耀，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信息安全领域创新代表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王嘉禾获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杭州市“优秀青年岗位能手”、</w:t>
      </w:r>
      <w:r>
        <w:rPr>
          <w:rFonts w:hint="default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杭州六小龙之一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‌</w:t>
      </w:r>
      <w:r>
        <w:rPr>
          <w:rFonts w:hint="default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云深处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技术支持工程师陈伟航获央视新闻采访。</w:t>
      </w:r>
    </w:p>
    <w:p w14:paraId="63D0D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color w:val="1E386B" w:themeColor="accent1" w:themeShade="8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突出工程实践，深耕学科竞赛沃土，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激发育人活力，持续呈现“百花齐放、多点突破”的良好态势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在</w:t>
      </w:r>
      <w:r>
        <w:rPr>
          <w:rFonts w:hint="eastAsia" w:ascii="仿宋_GB2312" w:hAnsi="Segoe UI" w:eastAsia="仿宋_GB2312" w:cs="Segoe UI"/>
          <w:kern w:val="2"/>
          <w:sz w:val="32"/>
          <w:szCs w:val="32"/>
          <w:shd w:val="clear" w:color="auto" w:fill="FFFFFF"/>
          <w:lang w:val="en-US" w:eastAsia="zh-CN" w:bidi="ar-SA"/>
        </w:rPr>
        <w:t>2025中国大学生工程实践与创新能力大赛、中国高校智能机器人创意大赛、中国机器人大赛暨RoboCup机器人世界杯中国赛等高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水平赛事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中实现历史性突破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截至目前，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获省级以</w:t>
      </w:r>
      <w:r>
        <w:rPr>
          <w:rFonts w:hint="eastAsia" w:ascii="仿宋_GB2312" w:hAnsi="Segoe UI" w:eastAsia="仿宋_GB2312" w:cs="Segoe UI"/>
          <w:color w:val="auto"/>
          <w:sz w:val="32"/>
          <w:szCs w:val="32"/>
          <w:shd w:val="clear" w:color="auto" w:fill="FFFFFF"/>
        </w:rPr>
        <w:t>上奖项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lang w:val="en-US" w:eastAsia="zh-CN" w:bidi="ar-SA"/>
        </w:rPr>
        <w:t>174项，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val="en-US" w:eastAsia="zh-CN"/>
        </w:rPr>
        <w:t>其中国家级53项，省级</w:t>
      </w:r>
      <w:r>
        <w:rPr>
          <w:rFonts w:hint="default" w:ascii="Times New Roman" w:hAnsi="Times New Roman" w:eastAsia="仿宋_GB2312"/>
          <w:b w:val="0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val="en-US" w:eastAsia="zh-CN"/>
        </w:rPr>
        <w:t>21项，获奖率为87.7%。</w:t>
      </w:r>
    </w:p>
    <w:p w14:paraId="5DEF9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三、学科专业显成效，一流专业再登峰。</w:t>
      </w:r>
    </w:p>
    <w:p w14:paraId="229E9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增智能制造工程专业，在招本科专业9个，形成一流专业引领、新兴专业并进的良好格局，其中网安专业连续四年获校友会中国一流应用型专业档次A++，稳居全国榜首。推进机械专业硕士学位培育点建设，凝练“智能制造与机器人技术”“物联网与智能控制”“网络安全与人工智能”三大研究方向，获批省级科研项目3项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共建联合实验室推进产学研融合创新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获浙师大教学成果二等奖。</w:t>
      </w:r>
    </w:p>
    <w:p w14:paraId="7A3AA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全覆盖召开专业人才培养方案修订暨实验室建设研讨会，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扎实推进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7个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实验室建设项目落地，编制完成2026年度7个实验室建设项目计划及2026-2028年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建设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规划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大力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推进项目化教学、工程化实训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eastAsia="zh-CN"/>
        </w:rPr>
        <w:t>、AI赋能课程建设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立项培育工学院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教改研究实践项目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13项，</w:t>
      </w:r>
      <w:r>
        <w:rPr>
          <w:rFonts w:hint="default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面向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全院开设</w:t>
      </w:r>
      <w:r>
        <w:rPr>
          <w:rFonts w:hint="default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《人工智能通识课A》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，自编新形态教材《人工智能应用与伦理通识》等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引企入教，全年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邀请兼职教授、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</w:rPr>
        <w:t>校友导师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等讲座20余场；</w:t>
      </w:r>
      <w:r>
        <w:rPr>
          <w:rFonts w:hint="eastAsia" w:ascii="仿宋_GB2312" w:hAnsi="Segoe UI" w:eastAsia="仿宋_GB2312" w:cs="Segoe UI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访企拓岗，深入行业企业调研交流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20余次。</w:t>
      </w:r>
      <w:bookmarkStart w:id="0" w:name="_GoBack"/>
      <w:bookmarkEnd w:id="0"/>
    </w:p>
    <w:p w14:paraId="41993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四、产教融合结硕果，产业学院铸示范。</w:t>
      </w:r>
    </w:p>
    <w:p w14:paraId="1C0EC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系统构建院级（新材智造产业学院）-省级（网络空间安全产业学院）”两级建设体系，其中网络空间安全产业学院于2025年成功获批省重点支持立项建设，成为学院首个省级现代产业学院。同时申报的《网络空间安全“红客”产教融合协同育人实践》案例，成功入选省级现代产业学院典型案例，获得省级高度认可与推广，充分彰显示范引领作用。</w:t>
      </w:r>
    </w:p>
    <w:p w14:paraId="13767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以省级产业学院建设为试验田，聚焦三大方向工作室，深化“五共五联”协同机制，优化“2+2”培养模式，强化“岗课赛证”实战教学，持续举办“安恒班”“高格班”“数字班”等特色班。</w:t>
      </w:r>
      <w:r>
        <w:rPr>
          <w:rFonts w:hint="eastAsia" w:ascii="仿宋_GB2312" w:hAnsi="Segoe UI" w:eastAsia="仿宋_GB2312" w:cs="Segoe UI"/>
          <w:sz w:val="32"/>
          <w:szCs w:val="32"/>
          <w:shd w:val="clear" w:color="auto" w:fill="FFFFFF"/>
          <w:lang w:val="en-US" w:eastAsia="zh-CN"/>
        </w:rPr>
        <w:t>成立全市首个网络安全防范处置中心，深度参与600余家中小企业的网安监测，目前已累计为130余家企业提供安全检测与漏洞修复服务，并在多地网络安全攻防演练中获评优秀等级，且在10余次接待省市领导调研中赢得肯定，被认为具备推广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仿宋_GB2312">
    <w:altName w:val="Times New Roman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楷体_GB2312">
    <w:altName w:val="微软雅黑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44A26"/>
    <w:rsid w:val="08FC70AE"/>
    <w:rsid w:val="0B2E3315"/>
    <w:rsid w:val="0B9421A6"/>
    <w:rsid w:val="0DF06AB6"/>
    <w:rsid w:val="0EF05080"/>
    <w:rsid w:val="103E62AC"/>
    <w:rsid w:val="11800151"/>
    <w:rsid w:val="11BB61E6"/>
    <w:rsid w:val="17780248"/>
    <w:rsid w:val="19AD7F51"/>
    <w:rsid w:val="1B3E3557"/>
    <w:rsid w:val="20256A93"/>
    <w:rsid w:val="24561911"/>
    <w:rsid w:val="251F4672"/>
    <w:rsid w:val="2AF223EC"/>
    <w:rsid w:val="2E3305CD"/>
    <w:rsid w:val="2E6D7F83"/>
    <w:rsid w:val="345E5A8B"/>
    <w:rsid w:val="37645191"/>
    <w:rsid w:val="383745BD"/>
    <w:rsid w:val="38AA3B82"/>
    <w:rsid w:val="38E04160"/>
    <w:rsid w:val="3B4E50CC"/>
    <w:rsid w:val="3CA52FDE"/>
    <w:rsid w:val="40442B0E"/>
    <w:rsid w:val="41521725"/>
    <w:rsid w:val="43B458B4"/>
    <w:rsid w:val="43BC29BB"/>
    <w:rsid w:val="472114B3"/>
    <w:rsid w:val="47777325"/>
    <w:rsid w:val="4A8B6CBC"/>
    <w:rsid w:val="4B0610EB"/>
    <w:rsid w:val="50EC0D83"/>
    <w:rsid w:val="527A416D"/>
    <w:rsid w:val="52D90E94"/>
    <w:rsid w:val="531225F7"/>
    <w:rsid w:val="532C36B9"/>
    <w:rsid w:val="54A656ED"/>
    <w:rsid w:val="54FB1595"/>
    <w:rsid w:val="56F664B8"/>
    <w:rsid w:val="57016C0B"/>
    <w:rsid w:val="57541431"/>
    <w:rsid w:val="59D6437F"/>
    <w:rsid w:val="5CFF599B"/>
    <w:rsid w:val="651C35EA"/>
    <w:rsid w:val="65960E66"/>
    <w:rsid w:val="66E31E89"/>
    <w:rsid w:val="6D9C125A"/>
    <w:rsid w:val="6E386F5E"/>
    <w:rsid w:val="6F854425"/>
    <w:rsid w:val="700A492A"/>
    <w:rsid w:val="744D4DE6"/>
    <w:rsid w:val="77130569"/>
    <w:rsid w:val="77CE623E"/>
    <w:rsid w:val="7AAA11E4"/>
    <w:rsid w:val="7B4B6523"/>
    <w:rsid w:val="7C7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color w:val="6E6E6E"/>
      <w:kern w:val="0"/>
      <w:sz w:val="16"/>
      <w:szCs w:val="16"/>
      <w:lang w:val="en-US" w:eastAsia="zh-CN" w:bidi="ar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800080"/>
      <w:u w:val="non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TML Definition"/>
    <w:basedOn w:val="7"/>
    <w:qFormat/>
    <w:uiPriority w:val="0"/>
    <w:rPr>
      <w:i/>
      <w:iCs/>
    </w:rPr>
  </w:style>
  <w:style w:type="character" w:styleId="12">
    <w:name w:val="Hyperlink"/>
    <w:basedOn w:val="7"/>
    <w:qFormat/>
    <w:uiPriority w:val="0"/>
    <w:rPr>
      <w:color w:val="0000FF"/>
      <w:u w:val="none"/>
    </w:rPr>
  </w:style>
  <w:style w:type="character" w:styleId="13">
    <w:name w:val="HTML Code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Keyboard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5">
    <w:name w:val="HTML Sampl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jp-artist"/>
    <w:basedOn w:val="7"/>
    <w:qFormat/>
    <w:uiPriority w:val="0"/>
    <w:rPr>
      <w:color w:val="8C7A99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1533</Words>
  <Characters>1607</Characters>
  <Lines>0</Lines>
  <Paragraphs>0</Paragraphs>
  <TotalTime>12</TotalTime>
  <ScaleCrop>false</ScaleCrop>
  <LinksUpToDate>false</LinksUpToDate>
  <CharactersWithSpaces>1610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2025-12-11T01:58:00Z</dcterms:created>
  <dc:creator>62385</dc:creator>
  <cp:lastModifiedBy>张华平</cp:lastModifiedBy>
  <dcterms:modified xsi:type="dcterms:W3CDTF">2025-12-23T02:37:37Z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eyJoZGlkIjoiODU3ZmIwN2E0OTY0YTgyYzMyMWIzYWU4MGVmMTIwNjQiLCJ1c2VySWQiOiI1NTYyNjU1ODkifQ==</vt:lpwstr>
  </property>
  <property fmtid="{D5CDD505-2E9C-101B-9397-08002B2CF9AE}" pid="4" name="ICV">
    <vt:lpwstr>2DEC2A0DCF144484B8395F05FBB86654_12</vt:lpwstr>
  </property>
</Properties>
</file>