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35E2379">
      <w:pPr>
        <w:jc w:val="center"/>
        <w:rPr>
          <w:rFonts w:hint="eastAsia" w:ascii="Times New Roman" w:hAnsi="Times New Roman" w:eastAsia="仿宋" w:cs="Times New Roman"/>
          <w:b/>
          <w:bCs/>
          <w:sz w:val="30"/>
          <w:szCs w:val="30"/>
        </w:rPr>
      </w:pPr>
      <w:r>
        <w:rPr>
          <w:rFonts w:hint="eastAsia" w:ascii="Times New Roman" w:hAnsi="Times New Roman" w:eastAsia="仿宋" w:cs="Times New Roman"/>
          <w:b/>
          <w:bCs/>
          <w:sz w:val="30"/>
          <w:szCs w:val="30"/>
        </w:rPr>
        <w:t>科研创新提能・学科筑基・服务赋能​</w:t>
      </w:r>
    </w:p>
    <w:p w14:paraId="6A5FF102">
      <w:pPr>
        <w:jc w:val="center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b/>
          <w:bCs/>
          <w:sz w:val="30"/>
          <w:szCs w:val="30"/>
        </w:rPr>
        <w:t>——2025 年度以科研突破引领高质量发展工作总结​</w:t>
      </w:r>
    </w:p>
    <w:p w14:paraId="3369E45C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</w:p>
    <w:p w14:paraId="2365EDB7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​2025 年度，我院锚定 “科研创新提能、学科筑基强本、服务赋能增效” 核心目标，统筹推进科研管理、学科建设、技术转移三大重点工作，实现各项事业跨越式发展，为高质量发展注入强劲动能。</w:t>
      </w:r>
      <w:r>
        <w:rPr>
          <w:rFonts w:hint="eastAsia" w:ascii="Times New Roman" w:hAnsi="Times New Roman" w:eastAsia="仿宋" w:cs="Times New Roman"/>
          <w:sz w:val="28"/>
          <w:szCs w:val="28"/>
          <w:lang w:val="en-US" w:eastAsia="zh-CN"/>
        </w:rPr>
        <w:t xml:space="preserve">    </w:t>
      </w:r>
    </w:p>
    <w:p w14:paraId="24A47ABA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一、科研管理：规模质量双升，创新活力迸发​</w:t>
      </w:r>
    </w:p>
    <w:p w14:paraId="68FA9CBE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（一）项目与成果实现双突破​</w:t>
      </w:r>
    </w:p>
    <w:p w14:paraId="42F46C8D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全年科研项目申报380余人次，纵向立项64项（国家级3项、省部级25项、厅局级16项、其他20项），横向立项44项（含重大1项、重点3项），年度到账经费超1000万元。国家级项目实现类别全覆盖，涵盖国家社科基金年度项目、中华学术外译项目及国家自然科学基金青年项目；横向项目深化产学研协同，为区域发展提供有力支撑。​</w:t>
      </w:r>
    </w:p>
    <w:p w14:paraId="0366118C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成果产出量质齐升，发表学术论文150余篇（一级及以上58篇），授权专利28项（发明专利22项）、软件著作权13项。专利总量较2024年增长29.41%，发明专利增幅达75%，覆盖中、美、日、欧及其他国家地区，知识产权转化能力显著提升。科研反哺人才培养立项62项，实现科研与教学协同发展。​</w:t>
      </w:r>
    </w:p>
    <w:p w14:paraId="00EBA0AC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（二）管理服务精准高效​</w:t>
      </w:r>
    </w:p>
    <w:p w14:paraId="7D15A516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高质量完成教育部科技与社科统计年报、2024 年度科研业绩计分奖励及署名行知奖励工作，启动2025年度科研工作量统计考核，构建闭环管理体系。精准组织国家自然科学基金、省“尖兵领雁”项目等各类申报，通过专题培训、一对一指导提升成功率；严格开展专业技术职务申报、人才评选等科研成果审核，规范管理系统填报，推动管理工作规范化、信息化、精细化。​</w:t>
      </w:r>
    </w:p>
    <w:p w14:paraId="225EFE3E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二、学科建设：队伍平台协同，培育成效凸显​</w:t>
      </w:r>
    </w:p>
    <w:p w14:paraId="1218D391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（一）硕导队伍持续壮大​</w:t>
      </w:r>
    </w:p>
    <w:p w14:paraId="17A70979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学院主要领导牵头与研究生院及化材、生科、地环等学院深度沟通，优化硕导遴选机制。2025年度新增学术学位硕导13人、专业学位硕导14人，现有博导7人、硕导60人，在校博士生5人、硕士生172人，累计培养毕业硕士生327人，导师队伍结构与培养规模协调优化。​</w:t>
      </w:r>
    </w:p>
    <w:p w14:paraId="0CC5A656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（二）学位点培育稳步推进​</w:t>
      </w:r>
    </w:p>
    <w:p w14:paraId="287FC73F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年内两次召开学位点培育专题会议，聚焦学科前沿与区域需求，整合校内外资源统筹规划。各培育点进度明确：资源与环境学位点已达标；材料与化工学位点需补充1名专业教师；生物与医药培育点仅人员规模未达标；机械学位点在博士师资、纵向经费到账率等指标上未达标；国际商务培育点需补齐骨干教师硕导经历；设计培育点在正高职称数量、省部级以上项目等指标上存在缺口，为正式申报明确攻坚方向。​</w:t>
      </w:r>
    </w:p>
    <w:p w14:paraId="24B2CCFE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三、技术转移中心：服务赋能增效，品牌影响扩大​</w:t>
      </w:r>
    </w:p>
    <w:p w14:paraId="50D665F6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（一）多元服务体系成效显著​</w:t>
      </w:r>
    </w:p>
    <w:p w14:paraId="081099F1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“学院兰溪技术转移中心” 蝉联优秀（A 等次）服务机构。全年组织370余人次专家走访112家企事业单位，举办校企交流活动5场，发布企业技术需求20项，与4家企业共建联合实验室，线上线下发布科技成果60余项；选派3名省级、3名金华市级科技特派员，1人受聘省级“科技副总”，强化科技服务基层能力。​</w:t>
      </w:r>
    </w:p>
    <w:p w14:paraId="098804C0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（二）产学研联盟建设扎实推进​</w:t>
      </w:r>
    </w:p>
    <w:p w14:paraId="783FDC3F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牵头推进兰溪市“1+3+N”产学研协同创新联盟建设，完善运行机制，联盟成员顺利通过年度考核。全年联合举办行业沙龙、科技架桥等活动11场，组织2场“智汇兰江 博创未来”对话活动，30余名教授、博士参与，促进产学研资源共享与深度合作。​</w:t>
      </w:r>
    </w:p>
    <w:p w14:paraId="5FC80A67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（三）“博士团服务”品牌效应凸显​</w:t>
      </w:r>
    </w:p>
    <w:p w14:paraId="36E1ABE1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“博士团服务”获各级媒体报道 24 次，全年走访企业22次，服务34家次，促成7个产学研项目落地。其中“蔗蛙绿色生态种养技术”推广超10亩，助力农户纯增收超1.5万元，实现经济效益与社会效益双赢。​</w:t>
      </w:r>
    </w:p>
    <w:p w14:paraId="214049DA">
      <w:pPr>
        <w:ind w:firstLine="560" w:firstLineChars="200"/>
        <w:rPr>
          <w:rFonts w:hint="eastAsia" w:ascii="Times New Roman" w:hAnsi="Times New Roman" w:eastAsia="仿宋" w:cs="Times New Roman"/>
          <w:sz w:val="28"/>
          <w:szCs w:val="28"/>
        </w:rPr>
      </w:pPr>
      <w:r>
        <w:rPr>
          <w:rFonts w:hint="eastAsia" w:ascii="Times New Roman" w:hAnsi="Times New Roman" w:eastAsia="仿宋" w:cs="Times New Roman"/>
          <w:sz w:val="28"/>
          <w:szCs w:val="28"/>
        </w:rPr>
        <w:t>2025</w:t>
      </w:r>
      <w:bookmarkStart w:id="0" w:name="_GoBack"/>
      <w:bookmarkEnd w:id="0"/>
      <w:r>
        <w:rPr>
          <w:rFonts w:hint="eastAsia" w:ascii="Times New Roman" w:hAnsi="Times New Roman" w:eastAsia="仿宋" w:cs="Times New Roman"/>
          <w:sz w:val="28"/>
          <w:szCs w:val="28"/>
        </w:rPr>
        <w:t>年度，我院通过科研突破强动力、学科建设固根基、服务赋能拓空间，各项工作实现跨越式发展。未来将持续聚焦核心任务，补齐学位点短板，深化产学研融合，推动高质量发展再上新台阶。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1" w:fontKey="{0DBC84EF-1921-447E-9DB9-B4CFC6C686A6}"/>
  </w:font>
  <w:font w:name="WPSEMBED1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  <w:font w:name="Segoe UI Emoji">
    <w:panose1 w:val="020B0502040204020203"/>
    <w:charset w:val="00"/>
    <w:family w:val="auto"/>
    <w:pitch w:val="default"/>
    <w:sig w:usb0="00000001" w:usb1="02000000" w:usb2="00000000" w:usb3="00000000" w:csb0="00000001" w:csb1="00000000"/>
    <w:embedRegular r:id="rId2" w:fontKey="{93D60C6B-1EE8-4429-B047-51434C58EED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3393"/>
    <w:rsid w:val="000D592F"/>
    <w:rsid w:val="002E44B1"/>
    <w:rsid w:val="00382488"/>
    <w:rsid w:val="00403393"/>
    <w:rsid w:val="0068025A"/>
    <w:rsid w:val="006E319E"/>
    <w:rsid w:val="007321A0"/>
    <w:rsid w:val="00905160"/>
    <w:rsid w:val="00A07FAC"/>
    <w:rsid w:val="00AD0342"/>
    <w:rsid w:val="00C36C39"/>
    <w:rsid w:val="0A6D56A9"/>
    <w:rsid w:val="0CB16114"/>
    <w:rsid w:val="10536ACF"/>
    <w:rsid w:val="124F46F3"/>
    <w:rsid w:val="18870533"/>
    <w:rsid w:val="243454F7"/>
    <w:rsid w:val="2BF5204E"/>
    <w:rsid w:val="3883582D"/>
    <w:rsid w:val="424E2D75"/>
    <w:rsid w:val="48E037EB"/>
    <w:rsid w:val="4AAC3789"/>
    <w:rsid w:val="4D6C56FA"/>
    <w:rsid w:val="51D72D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1565</Words>
  <Characters>1672</Characters>
  <Lines>12</Lines>
  <Paragraphs>3</Paragraphs>
  <TotalTime>18</TotalTime>
  <ScaleCrop>false</ScaleCrop>
  <LinksUpToDate>false</LinksUpToDate>
  <CharactersWithSpaces>1673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2025-12-12T08:12:00Z</dcterms:created>
  <dc:creator>wsy</dc:creator>
  <cp:lastModifiedBy>龚阳春</cp:lastModifiedBy>
  <dcterms:modified xsi:type="dcterms:W3CDTF">2025-12-17T03:03:32Z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eyJoZGlkIjoiZGFkNGI3MmY2M2RjM2UxNzk0NDRjMGZkZDBjMjEyYTkiLCJ1c2VySWQiOiI0NDAyMzU2NjUifQ==</vt:lpwstr>
  </property>
  <property fmtid="{D5CDD505-2E9C-101B-9397-08002B2CF9AE}" pid="4" name="ICV">
    <vt:lpwstr>A1784C98715F4EE7B0C91F6C7C4DD43B_13</vt:lpwstr>
  </property>
</Properties>
</file>