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bidi="ar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  <w:t>浙江省本科毕业论文（设计）抽检</w:t>
      </w:r>
    </w:p>
    <w:p>
      <w:pPr>
        <w:widowControl/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  <w:t>一般性评议要素</w:t>
      </w:r>
    </w:p>
    <w:tbl>
      <w:tblPr>
        <w:tblStyle w:val="5"/>
        <w:tblpPr w:leftFromText="180" w:rightFromText="180" w:vertAnchor="text" w:horzAnchor="page" w:tblpX="1692" w:tblpY="346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362"/>
        <w:gridCol w:w="4574"/>
        <w:gridCol w:w="1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评议要素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否决性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政治方向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有违背党和国家相关政策方针、法律法规，或违背社会主义核心价值观、立德树人要求，或其它违背社会公序良俗的内容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存在其中任何一条，直接认定为“存在问题毕业论文（设计）”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学术诚信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出现抄袭、剽窃、伪造、篡改、买卖、代写等学术不端行为</w:t>
            </w:r>
          </w:p>
        </w:tc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选题意义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选题目的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符合专业培养目标，体现综合训练基本要求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研究意义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面向所在专业领域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（专业相关领域或专业交叉领域）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学术问题或行业社会实际问题，有一定的理论或实用价值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逻辑构建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层次体系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体系完整，层次分明，重点突出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逻辑结构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论点鲜明，论据确凿，论证充分，达到所在专业领域要求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专业水平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综合应用知识能力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将相关领域的基础理论、专业知识合理应用到研究过程，能体现所在专业领域的能力和素养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分析解决问题能力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研究方法合理，论证分析严谨，数据记录规范，能体现一定的分析解决本专业领域问题的能力和素养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创新能力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发现了新问题，阐明了新观点，或将经典理论创新性应用，或阐释了对实践的指导意义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学术规范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行文规范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文字表达、书写格式、图表（图纸）、公式符号、缩略词等方面符合通行学术规范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引用规范</w:t>
            </w:r>
          </w:p>
        </w:tc>
        <w:tc>
          <w:tcPr>
            <w:tcW w:w="45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在资料引证、参考文献等方面符合通行学术规范和知识产权相关规定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84A5E"/>
    <w:rsid w:val="4FC84A5E"/>
    <w:rsid w:val="7F25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2024-04-01T02:30:00Z</dcterms:created>
  <dc:creator>金喻颖</dc:creator>
  <cp:lastModifiedBy>金喻颖</cp:lastModifiedBy>
  <dcterms:modified xsi:type="dcterms:W3CDTF">2024-04-03T02:49:31Z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EC6DD08297784154B66B23A4AFCB4DA6</vt:lpwstr>
  </property>
</Properties>
</file>